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0"/>
      </w:pPr>
      <w:r>
        <w:rPr>
          <w:rFonts w:ascii="Calibri" w:hAnsi="Calibri"/>
          <w:b/>
          <w:color w:val="1B8F86"/>
          <w:sz w:val="20"/>
        </w:rPr>
        <w:t>ALPHA GRID  /  WHITE PAPER  /  VERSION 1.0</w:t>
      </w:r>
    </w:p>
    <w:p>
      <w:pPr>
        <w:spacing w:after="240"/>
      </w:pPr>
      <w:r>
        <w:rPr>
          <w:rFonts w:ascii="Calibri" w:hAnsi="Calibri"/>
          <w:b/>
          <w:color w:val="061014"/>
          <w:sz w:val="72"/>
        </w:rPr>
        <w:t>Digital investment operations,</w:t>
        <w:br/>
        <w:t>made traceable.</w:t>
      </w:r>
    </w:p>
    <w:p>
      <w:pPr>
        <w:spacing w:after="720"/>
      </w:pPr>
      <w:r>
        <w:rPr>
          <w:color w:val="53656D"/>
          <w:sz w:val="32"/>
        </w:rPr>
        <w:t>A practical description of the account, funding, package, portfolio, affiliate, reward, support, and governance systems implemented in Alpha Grid.</w:t>
      </w:r>
    </w:p>
    <w:tbl>
      <w:tblPr>
        <w:tblW w:type="auto" w:w="0"/>
        <w:jc w:val="center"/>
        <w:tblLook w:firstColumn="1" w:firstRow="1" w:lastColumn="0" w:lastRow="0" w:noHBand="0" w:noVBand="1" w:val="04A0"/>
      </w:tblPr>
      <w:tblGrid>
        <w:gridCol w:w="3120"/>
        <w:gridCol w:w="3120"/>
        <w:gridCol w:w="3120"/>
      </w:tblGrid>
      <w:tr>
        <w:tc>
          <w:tcPr>
            <w:tcW w:type="dxa" w:w="3120"/>
            <w:shd w:fill="1B8F86"/>
            <w:tcMar>
              <w:top w:w="160" w:type="dxa"/>
              <w:start w:w="160" w:type="dxa"/>
              <w:bottom w:w="160" w:type="dxa"/>
              <w:end w:w="160" w:type="dxa"/>
            </w:tcMar>
            <w:vAlign w:val="center"/>
          </w:tcPr>
          <w:p>
            <w:pPr>
              <w:jc w:val="center"/>
            </w:pPr>
            <w:r>
              <w:rPr>
                <w:b/>
                <w:color w:val="FFFFFF"/>
                <w:sz w:val="18"/>
              </w:rPr>
              <w:t>LEDGER-FIRST</w:t>
            </w:r>
          </w:p>
        </w:tc>
        <w:tc>
          <w:tcPr>
            <w:tcW w:type="dxa" w:w="3120"/>
            <w:shd w:fill="FF8A50"/>
            <w:tcMar>
              <w:top w:w="160" w:type="dxa"/>
              <w:start w:w="160" w:type="dxa"/>
              <w:bottom w:w="160" w:type="dxa"/>
              <w:end w:w="160" w:type="dxa"/>
            </w:tcMar>
            <w:vAlign w:val="center"/>
          </w:tcPr>
          <w:p>
            <w:pPr>
              <w:jc w:val="center"/>
            </w:pPr>
            <w:r>
              <w:rPr>
                <w:b/>
                <w:color w:val="FFFFFF"/>
                <w:sz w:val="18"/>
              </w:rPr>
              <w:t>HUMAN REVIEW</w:t>
            </w:r>
          </w:p>
        </w:tc>
        <w:tc>
          <w:tcPr>
            <w:tcW w:type="dxa" w:w="3120"/>
            <w:shd w:fill="2E74B5"/>
            <w:tcMar>
              <w:top w:w="160" w:type="dxa"/>
              <w:start w:w="160" w:type="dxa"/>
              <w:bottom w:w="160" w:type="dxa"/>
              <w:end w:w="160" w:type="dxa"/>
            </w:tcMar>
            <w:vAlign w:val="center"/>
          </w:tcPr>
          <w:p>
            <w:pPr>
              <w:jc w:val="center"/>
            </w:pPr>
            <w:r>
              <w:rPr>
                <w:b/>
                <w:color w:val="FFFFFF"/>
                <w:sz w:val="18"/>
              </w:rPr>
              <w:t>HONEST DISCLOSURE</w:t>
            </w:r>
          </w:p>
        </w:tc>
      </w:tr>
    </w:tbl>
    <w:p/>
    <w:p>
      <w:pPr>
        <w:jc w:val="right"/>
      </w:pPr>
      <w:r>
        <w:rPr>
          <w:color w:val="53656D"/>
          <w:sz w:val="20"/>
        </w:rPr>
        <w:t>Published June 2026  |  alphagrid.ltd</w:t>
      </w:r>
    </w:p>
    <w:p>
      <w:r>
        <w:br w:type="page"/>
      </w:r>
    </w:p>
    <w:p>
      <w:r>
        <w:rPr>
          <w:b/>
          <w:color w:val="1B8F86"/>
          <w:sz w:val="18"/>
        </w:rPr>
        <w:t>01  /  WHITE PAPER</w:t>
      </w:r>
    </w:p>
    <w:p>
      <w:pPr>
        <w:pStyle w:val="Heading1"/>
      </w:pPr>
      <w:r>
        <w:t>Executive summary</w:t>
      </w:r>
    </w:p>
    <w:p>
      <w:pPr>
        <w:spacing w:after="280"/>
        <w:jc w:val="left"/>
      </w:pPr>
      <w:r>
        <w:rPr>
          <w:color w:val="53656D"/>
          <w:sz w:val="28"/>
        </w:rPr>
        <w:t>Alpha Grid is an operational platform—not a substitute for independent financial, legal, or custody assurance.</w:t>
      </w:r>
    </w:p>
    <w:p>
      <w:r>
        <w:t>The platform connects verified onboarding, manual USDT funding, investment-package administration, portfolio and earnings reporting, multi-level affiliate tracking, scheduled reward processing, transaction detail, live market context, and ticket-based support. Its design favors visible states and explicit boundaries: pending is not completed, stated return is not realized profit, and internal records are not an external audit.</w:t>
      </w:r>
    </w:p>
    <w:p>
      <w:pPr>
        <w:pStyle w:val="ListBullet"/>
      </w:pPr>
      <w:r>
        <w:t>Free registration before funding</w:t>
      </w:r>
    </w:p>
    <w:p>
      <w:pPr>
        <w:pStyle w:val="ListBullet"/>
      </w:pPr>
      <w:r>
        <w:t>25 USDT minimum deposit and 20 USDT minimum withdrawal</w:t>
      </w:r>
    </w:p>
    <w:p>
      <w:pPr>
        <w:pStyle w:val="ListBullet"/>
      </w:pPr>
      <w:r>
        <w:t>5% plus 1 USDT withdrawal fee</w:t>
      </w:r>
    </w:p>
    <w:p>
      <w:pPr>
        <w:pStyle w:val="ListBullet"/>
      </w:pPr>
      <w:r>
        <w:t>8–10 configurable affiliate levels</w:t>
      </w:r>
    </w:p>
    <w:p>
      <w:pPr>
        <w:pStyle w:val="ListBullet"/>
      </w:pPr>
      <w:r>
        <w:t>No currently published independent audit, named custodian, proof of reserves, or licensing claim</w:t>
      </w:r>
    </w:p>
    <w:p>
      <w:pPr>
        <w:pStyle w:val="Heading2"/>
      </w:pPr>
      <w:r>
        <w:t>Who this document serves</w:t>
      </w:r>
    </w:p>
    <w:p>
      <w:r>
        <w:t>Prospective users, affiliates, operators, administrators, reviewers, and future assurance providers can use this paper to understand what exists today and what remains a roadmap item.</w:t>
      </w:r>
    </w:p>
    <w:p>
      <w:r>
        <w:br w:type="page"/>
      </w:r>
    </w:p>
    <w:p>
      <w:r>
        <w:rPr>
          <w:b/>
          <w:color w:val="1B8F86"/>
          <w:sz w:val="18"/>
        </w:rPr>
        <w:t>02  /  WHITE PAPER</w:t>
      </w:r>
    </w:p>
    <w:p>
      <w:pPr>
        <w:pStyle w:val="Heading1"/>
      </w:pPr>
      <w:r>
        <w:t>Problem and operating principles</w:t>
      </w:r>
    </w:p>
    <w:p>
      <w:pPr>
        <w:spacing w:after="280"/>
        <w:jc w:val="left"/>
      </w:pPr>
      <w:r>
        <w:rPr>
          <w:color w:val="53656D"/>
          <w:sz w:val="28"/>
        </w:rPr>
        <w:t>Investment operations lose credibility when records, projections, and support conversations live in disconnected systems.</w:t>
      </w:r>
    </w:p>
    <w:tbl>
      <w:tblPr>
        <w:tblStyle w:val="TableGrid"/>
        <w:tblW w:type="auto" w:w="0"/>
        <w:jc w:val="center"/>
        <w:tblLayout w:type="fixed"/>
        <w:tblLook w:firstColumn="1" w:firstRow="1" w:lastColumn="0" w:lastRow="0" w:noHBand="0" w:noVBand="1" w:val="04A0"/>
      </w:tblPr>
      <w:tblGrid>
        <w:gridCol w:w="4680"/>
        <w:gridCol w:w="4680"/>
      </w:tblGrid>
      <w:tr>
        <w:tc>
          <w:tcPr>
            <w:tcW w:type="dxa" w:w="3312"/>
            <w:shd w:fill="F4F6F9"/>
            <w:tcMar>
              <w:top w:w="120" w:type="dxa"/>
              <w:start w:w="120" w:type="dxa"/>
              <w:bottom w:w="120" w:type="dxa"/>
              <w:end w:w="120" w:type="dxa"/>
            </w:tcMar>
          </w:tcPr>
          <w:p>
            <w:r>
              <w:rPr>
                <w:b/>
                <w:color w:val="061014"/>
              </w:rPr>
              <w:t>Common gap</w:t>
            </w:r>
          </w:p>
        </w:tc>
        <w:tc>
          <w:tcPr>
            <w:tcW w:type="dxa" w:w="6048"/>
            <w:shd w:fill="F4F6F9"/>
            <w:tcMar>
              <w:top w:w="120" w:type="dxa"/>
              <w:start w:w="120" w:type="dxa"/>
              <w:bottom w:w="120" w:type="dxa"/>
              <w:end w:w="120" w:type="dxa"/>
            </w:tcMar>
          </w:tcPr>
          <w:p>
            <w:r>
              <w:rPr>
                <w:b/>
                <w:color w:val="061014"/>
              </w:rPr>
              <w:t>Alpha Grid response</w:t>
            </w:r>
          </w:p>
        </w:tc>
      </w:tr>
      <w:tr>
        <w:tc>
          <w:tcPr>
            <w:tcW w:type="dxa" w:w="3312"/>
            <w:tcMar>
              <w:top w:w="120" w:type="dxa"/>
              <w:start w:w="120" w:type="dxa"/>
              <w:bottom w:w="120" w:type="dxa"/>
              <w:end w:w="120" w:type="dxa"/>
            </w:tcMar>
            <w:vAlign w:val="top"/>
          </w:tcPr>
          <w:p>
            <w:r>
              <w:t>Wallet transfers separated from account history</w:t>
            </w:r>
          </w:p>
        </w:tc>
        <w:tc>
          <w:tcPr>
            <w:tcW w:type="dxa" w:w="6048"/>
            <w:tcMar>
              <w:top w:w="120" w:type="dxa"/>
              <w:start w:w="120" w:type="dxa"/>
              <w:bottom w:w="120" w:type="dxa"/>
              <w:end w:w="120" w:type="dxa"/>
            </w:tcMar>
            <w:vAlign w:val="top"/>
          </w:tcPr>
          <w:p>
            <w:r>
              <w:t>Deposit and withdrawal requests retain network, proof, status, fee, and transaction hash.</w:t>
            </w:r>
          </w:p>
        </w:tc>
      </w:tr>
      <w:tr>
        <w:tc>
          <w:tcPr>
            <w:tcW w:type="dxa" w:w="3312"/>
            <w:tcMar>
              <w:top w:w="120" w:type="dxa"/>
              <w:start w:w="120" w:type="dxa"/>
              <w:bottom w:w="120" w:type="dxa"/>
              <w:end w:w="120" w:type="dxa"/>
            </w:tcMar>
            <w:vAlign w:val="top"/>
          </w:tcPr>
          <w:p>
            <w:r>
              <w:t>Package terms change after purchase</w:t>
            </w:r>
          </w:p>
        </w:tc>
        <w:tc>
          <w:tcPr>
            <w:tcW w:type="dxa" w:w="6048"/>
            <w:tcMar>
              <w:top w:w="120" w:type="dxa"/>
              <w:start w:w="120" w:type="dxa"/>
              <w:bottom w:w="120" w:type="dxa"/>
              <w:end w:w="120" w:type="dxa"/>
            </w:tcMar>
            <w:vAlign w:val="top"/>
          </w:tcPr>
          <w:p>
            <w:r>
              <w:t>Purchase-time snapshots preserve price, duration, stated return, and maturity.</w:t>
            </w:r>
          </w:p>
        </w:tc>
      </w:tr>
      <w:tr>
        <w:tc>
          <w:tcPr>
            <w:tcW w:type="dxa" w:w="3312"/>
            <w:tcMar>
              <w:top w:w="120" w:type="dxa"/>
              <w:start w:w="120" w:type="dxa"/>
              <w:bottom w:w="120" w:type="dxa"/>
              <w:end w:w="120" w:type="dxa"/>
            </w:tcMar>
            <w:vAlign w:val="top"/>
          </w:tcPr>
          <w:p>
            <w:r>
              <w:t>Projected and realized earnings mixed together</w:t>
            </w:r>
          </w:p>
        </w:tc>
        <w:tc>
          <w:tcPr>
            <w:tcW w:type="dxa" w:w="6048"/>
            <w:tcMar>
              <w:top w:w="120" w:type="dxa"/>
              <w:start w:w="120" w:type="dxa"/>
              <w:bottom w:w="120" w:type="dxa"/>
              <w:end w:w="120" w:type="dxa"/>
            </w:tcMar>
            <w:vAlign w:val="top"/>
          </w:tcPr>
          <w:p>
            <w:r>
              <w:t>Portfolio terms and completed profit-ledger credits are displayed separately.</w:t>
            </w:r>
          </w:p>
        </w:tc>
      </w:tr>
      <w:tr>
        <w:tc>
          <w:tcPr>
            <w:tcW w:type="dxa" w:w="3312"/>
            <w:tcMar>
              <w:top w:w="120" w:type="dxa"/>
              <w:start w:w="120" w:type="dxa"/>
              <w:bottom w:w="120" w:type="dxa"/>
              <w:end w:w="120" w:type="dxa"/>
            </w:tcMar>
            <w:vAlign w:val="top"/>
          </w:tcPr>
          <w:p>
            <w:r>
              <w:t>Referral claims without traceability</w:t>
            </w:r>
          </w:p>
        </w:tc>
        <w:tc>
          <w:tcPr>
            <w:tcW w:type="dxa" w:w="6048"/>
            <w:tcMar>
              <w:top w:w="120" w:type="dxa"/>
              <w:start w:w="120" w:type="dxa"/>
              <w:bottom w:w="120" w:type="dxa"/>
              <w:end w:w="120" w:type="dxa"/>
            </w:tcMar>
            <w:vAlign w:val="top"/>
          </w:tcPr>
          <w:p>
            <w:r>
              <w:t>Team depth, level, status, commission source, and reward destination are recorded.</w:t>
            </w:r>
          </w:p>
        </w:tc>
      </w:tr>
      <w:tr>
        <w:tc>
          <w:tcPr>
            <w:tcW w:type="dxa" w:w="3312"/>
            <w:tcMar>
              <w:top w:w="120" w:type="dxa"/>
              <w:start w:w="120" w:type="dxa"/>
              <w:bottom w:w="120" w:type="dxa"/>
              <w:end w:w="120" w:type="dxa"/>
            </w:tcMar>
            <w:vAlign w:val="top"/>
          </w:tcPr>
          <w:p>
            <w:r>
              <w:t>Support handled in private chats</w:t>
            </w:r>
          </w:p>
        </w:tc>
        <w:tc>
          <w:tcPr>
            <w:tcW w:type="dxa" w:w="6048"/>
            <w:tcMar>
              <w:top w:w="120" w:type="dxa"/>
              <w:start w:w="120" w:type="dxa"/>
              <w:bottom w:w="120" w:type="dxa"/>
              <w:end w:w="120" w:type="dxa"/>
            </w:tcMar>
            <w:vAlign w:val="top"/>
          </w:tcPr>
          <w:p>
            <w:r>
              <w:t>Tickets maintain priority, status, replies, and account-linked history.</w:t>
            </w:r>
          </w:p>
        </w:tc>
      </w:tr>
    </w:tbl>
    <w:p/>
    <w:p>
      <w:pPr>
        <w:pStyle w:val="Heading2"/>
      </w:pPr>
      <w:r>
        <w:t>Principles</w:t>
      </w:r>
    </w:p>
    <w:p>
      <w:pPr>
        <w:pStyle w:val="ListBullet"/>
      </w:pPr>
      <w:r>
        <w:t>Ledger-first accounting</w:t>
      </w:r>
    </w:p>
    <w:p>
      <w:pPr>
        <w:pStyle w:val="ListBullet"/>
      </w:pPr>
      <w:r>
        <w:t>Human review for sensitive actions</w:t>
      </w:r>
    </w:p>
    <w:p>
      <w:pPr>
        <w:pStyle w:val="ListBullet"/>
      </w:pPr>
      <w:r>
        <w:t>Immutable purchase snapshots</w:t>
      </w:r>
    </w:p>
    <w:p>
      <w:pPr>
        <w:pStyle w:val="ListBullet"/>
      </w:pPr>
      <w:r>
        <w:t>Scheduled—not request-time—reward distribution</w:t>
      </w:r>
    </w:p>
    <w:p>
      <w:pPr>
        <w:pStyle w:val="ListBullet"/>
      </w:pPr>
      <w:r>
        <w:t>Honest public disclosures</w:t>
      </w:r>
    </w:p>
    <w:p>
      <w:r>
        <w:br w:type="page"/>
      </w:r>
    </w:p>
    <w:p>
      <w:r>
        <w:rPr>
          <w:b/>
          <w:color w:val="1B8F86"/>
          <w:sz w:val="18"/>
        </w:rPr>
        <w:t>03  /  WHITE PAPER</w:t>
      </w:r>
    </w:p>
    <w:p>
      <w:pPr>
        <w:pStyle w:val="Heading1"/>
      </w:pPr>
      <w:r>
        <w:t>Platform architecture</w:t>
      </w:r>
    </w:p>
    <w:p>
      <w:pPr>
        <w:spacing w:after="280"/>
        <w:jc w:val="left"/>
      </w:pPr>
      <w:r>
        <w:rPr>
          <w:color w:val="53656D"/>
          <w:sz w:val="28"/>
        </w:rPr>
        <w:t>A conventional web application with protected client and administrator surfaces.</w:t>
      </w:r>
    </w:p>
    <w:tbl>
      <w:tblPr>
        <w:tblStyle w:val="TableGrid"/>
        <w:tblW w:type="auto" w:w="0"/>
        <w:jc w:val="center"/>
        <w:tblLayout w:type="fixed"/>
        <w:tblLook w:firstColumn="1" w:firstRow="1" w:lastColumn="0" w:lastRow="0" w:noHBand="0" w:noVBand="1" w:val="04A0"/>
      </w:tblPr>
      <w:tblGrid>
        <w:gridCol w:w="4680"/>
        <w:gridCol w:w="4680"/>
      </w:tblGrid>
      <w:tr>
        <w:tc>
          <w:tcPr>
            <w:tcW w:type="dxa" w:w="2304"/>
            <w:shd w:fill="F4F6F9"/>
            <w:tcMar>
              <w:top w:w="120" w:type="dxa"/>
              <w:start w:w="120" w:type="dxa"/>
              <w:bottom w:w="120" w:type="dxa"/>
              <w:end w:w="120" w:type="dxa"/>
            </w:tcMar>
          </w:tcPr>
          <w:p>
            <w:r>
              <w:rPr>
                <w:b/>
                <w:color w:val="061014"/>
              </w:rPr>
              <w:t>Layer</w:t>
            </w:r>
          </w:p>
        </w:tc>
        <w:tc>
          <w:tcPr>
            <w:tcW w:type="dxa" w:w="7056"/>
            <w:shd w:fill="F4F6F9"/>
            <w:tcMar>
              <w:top w:w="120" w:type="dxa"/>
              <w:start w:w="120" w:type="dxa"/>
              <w:bottom w:w="120" w:type="dxa"/>
              <w:end w:w="120" w:type="dxa"/>
            </w:tcMar>
          </w:tcPr>
          <w:p>
            <w:r>
              <w:rPr>
                <w:b/>
                <w:color w:val="061014"/>
              </w:rPr>
              <w:t>Responsibility</w:t>
            </w:r>
          </w:p>
        </w:tc>
      </w:tr>
      <w:tr>
        <w:tc>
          <w:tcPr>
            <w:tcW w:type="dxa" w:w="2304"/>
            <w:tcMar>
              <w:top w:w="120" w:type="dxa"/>
              <w:start w:w="120" w:type="dxa"/>
              <w:bottom w:w="120" w:type="dxa"/>
              <w:end w:w="120" w:type="dxa"/>
            </w:tcMar>
            <w:vAlign w:val="top"/>
          </w:tcPr>
          <w:p>
            <w:r>
              <w:t>Public</w:t>
            </w:r>
          </w:p>
        </w:tc>
        <w:tc>
          <w:tcPr>
            <w:tcW w:type="dxa" w:w="7056"/>
            <w:tcMar>
              <w:top w:w="120" w:type="dxa"/>
              <w:start w:w="120" w:type="dxa"/>
              <w:bottom w:w="120" w:type="dxa"/>
              <w:end w:w="120" w:type="dxa"/>
            </w:tcMar>
            <w:vAlign w:val="top"/>
          </w:tcPr>
          <w:p>
            <w:r>
              <w:t>Landing page, live market context, policy pages, white paper, and presentations.</w:t>
            </w:r>
          </w:p>
        </w:tc>
      </w:tr>
      <w:tr>
        <w:tc>
          <w:tcPr>
            <w:tcW w:type="dxa" w:w="2304"/>
            <w:tcMar>
              <w:top w:w="120" w:type="dxa"/>
              <w:start w:w="120" w:type="dxa"/>
              <w:bottom w:w="120" w:type="dxa"/>
              <w:end w:w="120" w:type="dxa"/>
            </w:tcMar>
            <w:vAlign w:val="top"/>
          </w:tcPr>
          <w:p>
            <w:r>
              <w:t>Identity</w:t>
            </w:r>
          </w:p>
        </w:tc>
        <w:tc>
          <w:tcPr>
            <w:tcW w:type="dxa" w:w="7056"/>
            <w:tcMar>
              <w:top w:w="120" w:type="dxa"/>
              <w:start w:w="120" w:type="dxa"/>
              <w:bottom w:w="120" w:type="dxa"/>
              <w:end w:w="120" w:type="dxa"/>
            </w:tcMar>
            <w:vAlign w:val="top"/>
          </w:tcPr>
          <w:p>
            <w:r>
              <w:t>Registration, verified email, sessions, password handling, profile, and KYC workflow.</w:t>
            </w:r>
          </w:p>
        </w:tc>
      </w:tr>
      <w:tr>
        <w:tc>
          <w:tcPr>
            <w:tcW w:type="dxa" w:w="2304"/>
            <w:tcMar>
              <w:top w:w="120" w:type="dxa"/>
              <w:start w:w="120" w:type="dxa"/>
              <w:bottom w:w="120" w:type="dxa"/>
              <w:end w:w="120" w:type="dxa"/>
            </w:tcMar>
            <w:vAlign w:val="top"/>
          </w:tcPr>
          <w:p>
            <w:r>
              <w:t>Client portal</w:t>
            </w:r>
          </w:p>
        </w:tc>
        <w:tc>
          <w:tcPr>
            <w:tcW w:type="dxa" w:w="7056"/>
            <w:tcMar>
              <w:top w:w="120" w:type="dxa"/>
              <w:start w:w="120" w:type="dxa"/>
              <w:bottom w:w="120" w:type="dxa"/>
              <w:end w:w="120" w:type="dxa"/>
            </w:tcMar>
            <w:vAlign w:val="top"/>
          </w:tcPr>
          <w:p>
            <w:r>
              <w:t>Dashboard, funds, transactions, portfolio, earnings, team, support, and account settings.</w:t>
            </w:r>
          </w:p>
        </w:tc>
      </w:tr>
      <w:tr>
        <w:tc>
          <w:tcPr>
            <w:tcW w:type="dxa" w:w="2304"/>
            <w:tcMar>
              <w:top w:w="120" w:type="dxa"/>
              <w:start w:w="120" w:type="dxa"/>
              <w:bottom w:w="120" w:type="dxa"/>
              <w:end w:w="120" w:type="dxa"/>
            </w:tcMar>
            <w:vAlign w:val="top"/>
          </w:tcPr>
          <w:p>
            <w:r>
              <w:t>Admin portal</w:t>
            </w:r>
          </w:p>
        </w:tc>
        <w:tc>
          <w:tcPr>
            <w:tcW w:type="dxa" w:w="7056"/>
            <w:tcMar>
              <w:top w:w="120" w:type="dxa"/>
              <w:start w:w="120" w:type="dxa"/>
              <w:bottom w:w="120" w:type="dxa"/>
              <w:end w:w="120" w:type="dxa"/>
            </w:tcMar>
            <w:vAlign w:val="top"/>
          </w:tcPr>
          <w:p>
            <w:r>
              <w:t>Review queues, packages, users, KYC, affiliate levels, settings, support, and audit events.</w:t>
            </w:r>
          </w:p>
        </w:tc>
      </w:tr>
      <w:tr>
        <w:tc>
          <w:tcPr>
            <w:tcW w:type="dxa" w:w="2304"/>
            <w:tcMar>
              <w:top w:w="120" w:type="dxa"/>
              <w:start w:w="120" w:type="dxa"/>
              <w:bottom w:w="120" w:type="dxa"/>
              <w:end w:w="120" w:type="dxa"/>
            </w:tcMar>
            <w:vAlign w:val="top"/>
          </w:tcPr>
          <w:p>
            <w:r>
              <w:t>Ledger and scheduler</w:t>
            </w:r>
          </w:p>
        </w:tc>
        <w:tc>
          <w:tcPr>
            <w:tcW w:type="dxa" w:w="7056"/>
            <w:tcMar>
              <w:top w:w="120" w:type="dxa"/>
              <w:start w:w="120" w:type="dxa"/>
              <w:bottom w:w="120" w:type="dxa"/>
              <w:end w:w="120" w:type="dxa"/>
            </w:tcMar>
            <w:vAlign w:val="top"/>
          </w:tcPr>
          <w:p>
            <w:r>
              <w:t>Balance-changing records, reward wallets, and CLI-only block distribution.</w:t>
            </w:r>
          </w:p>
        </w:tc>
      </w:tr>
    </w:tbl>
    <w:p/>
    <w:p>
      <w:r>
        <w:t>The market widgets are third-party informational components. They do not write account results, create packages, or prove performance.</w:t>
      </w:r>
    </w:p>
    <w:p>
      <w:r>
        <w:br w:type="page"/>
      </w:r>
    </w:p>
    <w:p>
      <w:r>
        <w:rPr>
          <w:b/>
          <w:color w:val="1B8F86"/>
          <w:sz w:val="18"/>
        </w:rPr>
        <w:t>04  /  WHITE PAPER</w:t>
      </w:r>
    </w:p>
    <w:p>
      <w:pPr>
        <w:pStyle w:val="Heading1"/>
      </w:pPr>
      <w:r>
        <w:t>Identity, access, and security</w:t>
      </w:r>
    </w:p>
    <w:p>
      <w:pPr>
        <w:spacing w:after="280"/>
        <w:jc w:val="left"/>
      </w:pPr>
      <w:r>
        <w:rPr>
          <w:color w:val="53656D"/>
          <w:sz w:val="28"/>
        </w:rPr>
        <w:t>Security is a stack of controls and user responsibilities, not a single badge.</w:t>
      </w:r>
    </w:p>
    <w:p>
      <w:pPr>
        <w:pStyle w:val="ListBullet"/>
      </w:pPr>
      <w:r>
        <w:t>Password hashing and verified-email onboarding</w:t>
      </w:r>
    </w:p>
    <w:p>
      <w:pPr>
        <w:pStyle w:val="ListBullet"/>
      </w:pPr>
      <w:r>
        <w:t>CSRF protection on state-changing forms</w:t>
      </w:r>
    </w:p>
    <w:p>
      <w:pPr>
        <w:pStyle w:val="ListBullet"/>
      </w:pPr>
      <w:r>
        <w:t>Role-protected client and administrator routes</w:t>
      </w:r>
    </w:p>
    <w:p>
      <w:pPr>
        <w:pStyle w:val="ListBullet"/>
      </w:pPr>
      <w:r>
        <w:t>Replay-resistant verification links</w:t>
      </w:r>
    </w:p>
    <w:p>
      <w:pPr>
        <w:pStyle w:val="ListBullet"/>
      </w:pPr>
      <w:r>
        <w:t>KYC files outside the public web directory</w:t>
      </w:r>
    </w:p>
    <w:p>
      <w:pPr>
        <w:pStyle w:val="ListBullet"/>
      </w:pPr>
      <w:r>
        <w:t>Audit metadata for sensitive administrator actions</w:t>
      </w:r>
    </w:p>
    <w:p>
      <w:pPr>
        <w:pStyle w:val="Heading2"/>
      </w:pPr>
      <w:r>
        <w:t>User responsibilities</w:t>
      </w:r>
    </w:p>
    <w:p>
      <w:r>
        <w:t>Users must protect email access, use a unique password, verify wallet network and destination details, and never share private keys, seed phrases, or authentication codes. Suspected compromise should be reported through support immediately.</w:t>
      </w:r>
    </w:p>
    <w:p>
      <w:pPr>
        <w:pStyle w:val="Heading2"/>
      </w:pPr>
      <w:r>
        <w:t>Control boundary</w:t>
      </w:r>
    </w:p>
    <w:p>
      <w:r>
        <w:t>Application controls reduce operational risk but do not establish independent custody, regulatory authorization, or proof of reserves.</w:t>
      </w:r>
    </w:p>
    <w:p>
      <w:r>
        <w:br w:type="page"/>
      </w:r>
    </w:p>
    <w:p>
      <w:r>
        <w:rPr>
          <w:b/>
          <w:color w:val="1B8F86"/>
          <w:sz w:val="18"/>
        </w:rPr>
        <w:t>05  /  WHITE PAPER</w:t>
      </w:r>
    </w:p>
    <w:p>
      <w:pPr>
        <w:pStyle w:val="Heading1"/>
      </w:pPr>
      <w:r>
        <w:t>Funding lifecycle</w:t>
      </w:r>
    </w:p>
    <w:p>
      <w:pPr>
        <w:spacing w:after="280"/>
        <w:jc w:val="left"/>
      </w:pPr>
      <w:r>
        <w:rPr>
          <w:color w:val="53656D"/>
          <w:sz w:val="28"/>
        </w:rPr>
        <w:t>Manual review keeps the ledger tied to evidence and status transitions.</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1728"/>
            <w:shd w:fill="F4F6F9"/>
            <w:tcMar>
              <w:top w:w="120" w:type="dxa"/>
              <w:start w:w="120" w:type="dxa"/>
              <w:bottom w:w="120" w:type="dxa"/>
              <w:end w:w="120" w:type="dxa"/>
            </w:tcMar>
          </w:tcPr>
          <w:p>
            <w:r>
              <w:rPr>
                <w:b/>
                <w:color w:val="061014"/>
              </w:rPr>
              <w:t>Stage</w:t>
            </w:r>
          </w:p>
        </w:tc>
        <w:tc>
          <w:tcPr>
            <w:tcW w:type="dxa" w:w="3744"/>
            <w:shd w:fill="F4F6F9"/>
            <w:tcMar>
              <w:top w:w="120" w:type="dxa"/>
              <w:start w:w="120" w:type="dxa"/>
              <w:bottom w:w="120" w:type="dxa"/>
              <w:end w:w="120" w:type="dxa"/>
            </w:tcMar>
          </w:tcPr>
          <w:p>
            <w:r>
              <w:rPr>
                <w:b/>
                <w:color w:val="061014"/>
              </w:rPr>
              <w:t>Deposit</w:t>
            </w:r>
          </w:p>
        </w:tc>
        <w:tc>
          <w:tcPr>
            <w:tcW w:type="dxa" w:w="3888"/>
            <w:shd w:fill="F4F6F9"/>
            <w:tcMar>
              <w:top w:w="120" w:type="dxa"/>
              <w:start w:w="120" w:type="dxa"/>
              <w:bottom w:w="120" w:type="dxa"/>
              <w:end w:w="120" w:type="dxa"/>
            </w:tcMar>
          </w:tcPr>
          <w:p>
            <w:r>
              <w:rPr>
                <w:b/>
                <w:color w:val="061014"/>
              </w:rPr>
              <w:t>Withdrawal</w:t>
            </w:r>
          </w:p>
        </w:tc>
      </w:tr>
      <w:tr>
        <w:tc>
          <w:tcPr>
            <w:tcW w:type="dxa" w:w="1728"/>
            <w:tcMar>
              <w:top w:w="120" w:type="dxa"/>
              <w:start w:w="120" w:type="dxa"/>
              <w:bottom w:w="120" w:type="dxa"/>
              <w:end w:w="120" w:type="dxa"/>
            </w:tcMar>
            <w:vAlign w:val="top"/>
          </w:tcPr>
          <w:p>
            <w:r>
              <w:t>Initiate</w:t>
            </w:r>
          </w:p>
        </w:tc>
        <w:tc>
          <w:tcPr>
            <w:tcW w:type="dxa" w:w="3744"/>
            <w:tcMar>
              <w:top w:w="120" w:type="dxa"/>
              <w:start w:w="120" w:type="dxa"/>
              <w:bottom w:w="120" w:type="dxa"/>
              <w:end w:w="120" w:type="dxa"/>
            </w:tcMar>
            <w:vAlign w:val="top"/>
          </w:tcPr>
          <w:p>
            <w:r>
              <w:t>Choose supported network and amount; upload proof.</w:t>
            </w:r>
          </w:p>
        </w:tc>
        <w:tc>
          <w:tcPr>
            <w:tcW w:type="dxa" w:w="3888"/>
            <w:tcMar>
              <w:top w:w="120" w:type="dxa"/>
              <w:start w:w="120" w:type="dxa"/>
              <w:bottom w:w="120" w:type="dxa"/>
              <w:end w:w="120" w:type="dxa"/>
            </w:tcMar>
            <w:vAlign w:val="top"/>
          </w:tcPr>
          <w:p>
            <w:r>
              <w:t>Choose network, destination, and gross amount.</w:t>
            </w:r>
          </w:p>
        </w:tc>
      </w:tr>
      <w:tr>
        <w:tc>
          <w:tcPr>
            <w:tcW w:type="dxa" w:w="1728"/>
            <w:tcMar>
              <w:top w:w="120" w:type="dxa"/>
              <w:start w:w="120" w:type="dxa"/>
              <w:bottom w:w="120" w:type="dxa"/>
              <w:end w:w="120" w:type="dxa"/>
            </w:tcMar>
            <w:vAlign w:val="top"/>
          </w:tcPr>
          <w:p>
            <w:r>
              <w:t>Validate</w:t>
            </w:r>
          </w:p>
        </w:tc>
        <w:tc>
          <w:tcPr>
            <w:tcW w:type="dxa" w:w="3744"/>
            <w:tcMar>
              <w:top w:w="120" w:type="dxa"/>
              <w:start w:w="120" w:type="dxa"/>
              <w:bottom w:w="120" w:type="dxa"/>
              <w:end w:w="120" w:type="dxa"/>
            </w:tcMar>
            <w:vAlign w:val="top"/>
          </w:tcPr>
          <w:p>
            <w:r>
              <w:t>Minimum 25 USDT; administrator checks transfer.</w:t>
            </w:r>
          </w:p>
        </w:tc>
        <w:tc>
          <w:tcPr>
            <w:tcW w:type="dxa" w:w="3888"/>
            <w:tcMar>
              <w:top w:w="120" w:type="dxa"/>
              <w:start w:w="120" w:type="dxa"/>
              <w:bottom w:w="120" w:type="dxa"/>
              <w:end w:w="120" w:type="dxa"/>
            </w:tcMar>
            <w:vAlign w:val="top"/>
          </w:tcPr>
          <w:p>
            <w:r>
              <w:t>Minimum 20 USDT; requests open Monday and Tuesday.</w:t>
            </w:r>
          </w:p>
        </w:tc>
      </w:tr>
      <w:tr>
        <w:tc>
          <w:tcPr>
            <w:tcW w:type="dxa" w:w="1728"/>
            <w:tcMar>
              <w:top w:w="120" w:type="dxa"/>
              <w:start w:w="120" w:type="dxa"/>
              <w:bottom w:w="120" w:type="dxa"/>
              <w:end w:w="120" w:type="dxa"/>
            </w:tcMar>
            <w:vAlign w:val="top"/>
          </w:tcPr>
          <w:p>
            <w:r>
              <w:t>Reserve</w:t>
            </w:r>
          </w:p>
        </w:tc>
        <w:tc>
          <w:tcPr>
            <w:tcW w:type="dxa" w:w="3744"/>
            <w:tcMar>
              <w:top w:w="120" w:type="dxa"/>
              <w:start w:w="120" w:type="dxa"/>
              <w:bottom w:w="120" w:type="dxa"/>
              <w:end w:w="120" w:type="dxa"/>
            </w:tcMar>
            <w:vAlign w:val="top"/>
          </w:tcPr>
          <w:p>
            <w:r>
              <w:t>No balance until approval.</w:t>
            </w:r>
          </w:p>
        </w:tc>
        <w:tc>
          <w:tcPr>
            <w:tcW w:type="dxa" w:w="3888"/>
            <w:tcMar>
              <w:top w:w="120" w:type="dxa"/>
              <w:start w:w="120" w:type="dxa"/>
              <w:bottom w:w="120" w:type="dxa"/>
              <w:end w:w="120" w:type="dxa"/>
            </w:tcMar>
            <w:vAlign w:val="top"/>
          </w:tcPr>
          <w:p>
            <w:r>
              <w:t>Pending request reserves available balance.</w:t>
            </w:r>
          </w:p>
        </w:tc>
      </w:tr>
      <w:tr>
        <w:tc>
          <w:tcPr>
            <w:tcW w:type="dxa" w:w="1728"/>
            <w:tcMar>
              <w:top w:w="120" w:type="dxa"/>
              <w:start w:w="120" w:type="dxa"/>
              <w:bottom w:w="120" w:type="dxa"/>
              <w:end w:w="120" w:type="dxa"/>
            </w:tcMar>
            <w:vAlign w:val="top"/>
          </w:tcPr>
          <w:p>
            <w:r>
              <w:t>Complete</w:t>
            </w:r>
          </w:p>
        </w:tc>
        <w:tc>
          <w:tcPr>
            <w:tcW w:type="dxa" w:w="3744"/>
            <w:tcMar>
              <w:top w:w="120" w:type="dxa"/>
              <w:start w:w="120" w:type="dxa"/>
              <w:bottom w:w="120" w:type="dxa"/>
              <w:end w:w="120" w:type="dxa"/>
            </w:tcMar>
            <w:vAlign w:val="top"/>
          </w:tcPr>
          <w:p>
            <w:r>
              <w:t>Approved amount creates deposit ledger entry.</w:t>
            </w:r>
          </w:p>
        </w:tc>
        <w:tc>
          <w:tcPr>
            <w:tcW w:type="dxa" w:w="3888"/>
            <w:tcMar>
              <w:top w:w="120" w:type="dxa"/>
              <w:start w:w="120" w:type="dxa"/>
              <w:bottom w:w="120" w:type="dxa"/>
              <w:end w:w="120" w:type="dxa"/>
            </w:tcMar>
            <w:vAlign w:val="top"/>
          </w:tcPr>
          <w:p>
            <w:r>
              <w:t>Approved payout records fee, net amount, and transaction hash.</w:t>
            </w:r>
          </w:p>
        </w:tc>
      </w:tr>
    </w:tbl>
    <w:p/>
    <w:p>
      <w:r>
        <w:t>Current withdrawal fee: 5% of the gross amount plus 1 USDT. The interface previews the fee and net payout before submission. Target review is within 72 hours; it is a processing target, not a guarantee.</w:t>
      </w:r>
    </w:p>
    <w:p>
      <w:r>
        <w:br w:type="page"/>
      </w:r>
    </w:p>
    <w:p>
      <w:r>
        <w:rPr>
          <w:b/>
          <w:color w:val="1B8F86"/>
          <w:sz w:val="18"/>
        </w:rPr>
        <w:t>06  /  WHITE PAPER</w:t>
      </w:r>
    </w:p>
    <w:p>
      <w:pPr>
        <w:pStyle w:val="Heading1"/>
      </w:pPr>
      <w:r>
        <w:t>Package lifecycle</w:t>
      </w:r>
    </w:p>
    <w:p>
      <w:pPr>
        <w:spacing w:after="280"/>
        <w:jc w:val="left"/>
      </w:pPr>
      <w:r>
        <w:rPr>
          <w:color w:val="53656D"/>
          <w:sz w:val="28"/>
        </w:rPr>
        <w:t>Each package purchase is a dated record with its own stored terms.</w:t>
      </w:r>
    </w:p>
    <w:p>
      <w:pPr>
        <w:pStyle w:val="ListBullet"/>
      </w:pPr>
      <w:r>
        <w:t>A separate 10 USDT insured purchase slot is required for each intended package purchase.</w:t>
      </w:r>
    </w:p>
    <w:p>
      <w:pPr>
        <w:pStyle w:val="ListBullet"/>
      </w:pPr>
      <w:r>
        <w:t>Package insurance and purchases are closed Saturday and Sunday.</w:t>
      </w:r>
    </w:p>
    <w:p>
      <w:pPr>
        <w:pStyle w:val="ListBullet"/>
      </w:pPr>
      <w:r>
        <w:t>Price, 24-hour term, total stated return, duration, and maturity are snapshotted at purchase.</w:t>
      </w:r>
    </w:p>
    <w:p>
      <w:pPr>
        <w:pStyle w:val="ListBullet"/>
      </w:pPr>
      <w:r>
        <w:t>Portfolio views distinguish active, maturing, matured, and completed states.</w:t>
      </w:r>
    </w:p>
    <w:p>
      <w:pPr>
        <w:pStyle w:val="Heading2"/>
      </w:pPr>
      <w:r>
        <w:t>What ‘insured slot’ means</w:t>
      </w:r>
    </w:p>
    <w:p>
      <w:r>
        <w:t>It is a platform requirement and reward mechanism. It is not a statement that a licensed third-party insurer guarantees capital or returns.</w:t>
      </w:r>
    </w:p>
    <w:p>
      <w:pPr>
        <w:pStyle w:val="Heading2"/>
      </w:pPr>
      <w:r>
        <w:t>Return boundary</w:t>
      </w:r>
    </w:p>
    <w:p>
      <w:r>
        <w:t>Stored package terms describe the purchase. Only completed profit entries in the withdrawable ledger are realized earnings. No package return is presented here as guaranteed.</w:t>
      </w:r>
    </w:p>
    <w:p>
      <w:r>
        <w:br w:type="page"/>
      </w:r>
    </w:p>
    <w:p>
      <w:r>
        <w:rPr>
          <w:b/>
          <w:color w:val="1B8F86"/>
          <w:sz w:val="18"/>
        </w:rPr>
        <w:t>07  /  WHITE PAPER</w:t>
      </w:r>
    </w:p>
    <w:p>
      <w:pPr>
        <w:pStyle w:val="Heading1"/>
      </w:pPr>
      <w:r>
        <w:t>Portfolio and earnings</w:t>
      </w:r>
    </w:p>
    <w:p>
      <w:pPr>
        <w:spacing w:after="280"/>
        <w:jc w:val="left"/>
      </w:pPr>
      <w:r>
        <w:rPr>
          <w:color w:val="53656D"/>
          <w:sz w:val="28"/>
        </w:rPr>
        <w:t>The portfolio page turns package records into an understandable operating view.</w:t>
      </w:r>
    </w:p>
    <w:tbl>
      <w:tblPr>
        <w:tblStyle w:val="TableGrid"/>
        <w:tblW w:type="auto" w:w="0"/>
        <w:jc w:val="center"/>
        <w:tblLayout w:type="fixed"/>
        <w:tblLook w:firstColumn="1" w:firstRow="1" w:lastColumn="0" w:lastRow="0" w:noHBand="0" w:noVBand="1" w:val="04A0"/>
      </w:tblPr>
      <w:tblGrid>
        <w:gridCol w:w="4680"/>
        <w:gridCol w:w="4680"/>
      </w:tblGrid>
      <w:tr>
        <w:tc>
          <w:tcPr>
            <w:tcW w:type="dxa" w:w="2592"/>
            <w:shd w:fill="F4F6F9"/>
            <w:tcMar>
              <w:top w:w="120" w:type="dxa"/>
              <w:start w:w="120" w:type="dxa"/>
              <w:bottom w:w="120" w:type="dxa"/>
              <w:end w:w="120" w:type="dxa"/>
            </w:tcMar>
          </w:tcPr>
          <w:p>
            <w:r>
              <w:rPr>
                <w:b/>
                <w:color w:val="061014"/>
              </w:rPr>
              <w:t>View</w:t>
            </w:r>
          </w:p>
        </w:tc>
        <w:tc>
          <w:tcPr>
            <w:tcW w:type="dxa" w:w="6768"/>
            <w:shd w:fill="F4F6F9"/>
            <w:tcMar>
              <w:top w:w="120" w:type="dxa"/>
              <w:start w:w="120" w:type="dxa"/>
              <w:bottom w:w="120" w:type="dxa"/>
              <w:end w:w="120" w:type="dxa"/>
            </w:tcMar>
          </w:tcPr>
          <w:p>
            <w:r>
              <w:rPr>
                <w:b/>
                <w:color w:val="061014"/>
              </w:rPr>
              <w:t>Purpose</w:t>
            </w:r>
          </w:p>
        </w:tc>
      </w:tr>
      <w:tr>
        <w:tc>
          <w:tcPr>
            <w:tcW w:type="dxa" w:w="2592"/>
            <w:tcMar>
              <w:top w:w="120" w:type="dxa"/>
              <w:start w:w="120" w:type="dxa"/>
              <w:bottom w:w="120" w:type="dxa"/>
              <w:end w:w="120" w:type="dxa"/>
            </w:tcMar>
            <w:vAlign w:val="top"/>
          </w:tcPr>
          <w:p>
            <w:r>
              <w:t>Allocation</w:t>
            </w:r>
          </w:p>
        </w:tc>
        <w:tc>
          <w:tcPr>
            <w:tcW w:type="dxa" w:w="6768"/>
            <w:tcMar>
              <w:top w:w="120" w:type="dxa"/>
              <w:start w:w="120" w:type="dxa"/>
              <w:bottom w:w="120" w:type="dxa"/>
              <w:end w:w="120" w:type="dxa"/>
            </w:tcMar>
            <w:vAlign w:val="top"/>
          </w:tcPr>
          <w:p>
            <w:r>
              <w:t>Shows capital distributed across active package records.</w:t>
            </w:r>
          </w:p>
        </w:tc>
      </w:tr>
      <w:tr>
        <w:tc>
          <w:tcPr>
            <w:tcW w:type="dxa" w:w="2592"/>
            <w:tcMar>
              <w:top w:w="120" w:type="dxa"/>
              <w:start w:w="120" w:type="dxa"/>
              <w:bottom w:w="120" w:type="dxa"/>
              <w:end w:w="120" w:type="dxa"/>
            </w:tcMar>
            <w:vAlign w:val="top"/>
          </w:tcPr>
          <w:p>
            <w:r>
              <w:t>Maturity</w:t>
            </w:r>
          </w:p>
        </w:tc>
        <w:tc>
          <w:tcPr>
            <w:tcW w:type="dxa" w:w="6768"/>
            <w:tcMar>
              <w:top w:w="120" w:type="dxa"/>
              <w:start w:w="120" w:type="dxa"/>
              <w:bottom w:w="120" w:type="dxa"/>
              <w:end w:w="120" w:type="dxa"/>
            </w:tcMar>
            <w:vAlign w:val="top"/>
          </w:tcPr>
          <w:p>
            <w:r>
              <w:t>Shows start, maturity, remaining time, and current status.</w:t>
            </w:r>
          </w:p>
        </w:tc>
      </w:tr>
      <w:tr>
        <w:tc>
          <w:tcPr>
            <w:tcW w:type="dxa" w:w="2592"/>
            <w:tcMar>
              <w:top w:w="120" w:type="dxa"/>
              <w:start w:w="120" w:type="dxa"/>
              <w:bottom w:w="120" w:type="dxa"/>
              <w:end w:w="120" w:type="dxa"/>
            </w:tcMar>
            <w:vAlign w:val="top"/>
          </w:tcPr>
          <w:p>
            <w:r>
              <w:t>Stated profit</w:t>
            </w:r>
          </w:p>
        </w:tc>
        <w:tc>
          <w:tcPr>
            <w:tcW w:type="dxa" w:w="6768"/>
            <w:tcMar>
              <w:top w:w="120" w:type="dxa"/>
              <w:start w:w="120" w:type="dxa"/>
              <w:bottom w:w="120" w:type="dxa"/>
              <w:end w:w="120" w:type="dxa"/>
            </w:tcMar>
            <w:vAlign w:val="top"/>
          </w:tcPr>
          <w:p>
            <w:r>
              <w:t>Shows package terms saved at purchase.</w:t>
            </w:r>
          </w:p>
        </w:tc>
      </w:tr>
      <w:tr>
        <w:tc>
          <w:tcPr>
            <w:tcW w:type="dxa" w:w="2592"/>
            <w:tcMar>
              <w:top w:w="120" w:type="dxa"/>
              <w:start w:w="120" w:type="dxa"/>
              <w:bottom w:w="120" w:type="dxa"/>
              <w:end w:w="120" w:type="dxa"/>
            </w:tcMar>
            <w:vAlign w:val="top"/>
          </w:tcPr>
          <w:p>
            <w:r>
              <w:t>Realized profit</w:t>
            </w:r>
          </w:p>
        </w:tc>
        <w:tc>
          <w:tcPr>
            <w:tcW w:type="dxa" w:w="6768"/>
            <w:tcMar>
              <w:top w:w="120" w:type="dxa"/>
              <w:start w:w="120" w:type="dxa"/>
              <w:bottom w:w="120" w:type="dxa"/>
              <w:end w:w="120" w:type="dxa"/>
            </w:tcMar>
            <w:vAlign w:val="top"/>
          </w:tcPr>
          <w:p>
            <w:r>
              <w:t>Shows completed profit credits only.</w:t>
            </w:r>
          </w:p>
        </w:tc>
      </w:tr>
      <w:tr>
        <w:tc>
          <w:tcPr>
            <w:tcW w:type="dxa" w:w="2592"/>
            <w:tcMar>
              <w:top w:w="120" w:type="dxa"/>
              <w:start w:w="120" w:type="dxa"/>
              <w:bottom w:w="120" w:type="dxa"/>
              <w:end w:w="120" w:type="dxa"/>
            </w:tcMar>
            <w:vAlign w:val="top"/>
          </w:tcPr>
          <w:p>
            <w:r>
              <w:t>Earnings detail</w:t>
            </w:r>
          </w:p>
        </w:tc>
        <w:tc>
          <w:tcPr>
            <w:tcW w:type="dxa" w:w="6768"/>
            <w:tcMar>
              <w:top w:w="120" w:type="dxa"/>
              <w:start w:w="120" w:type="dxa"/>
              <w:bottom w:w="120" w:type="dxa"/>
              <w:end w:w="120" w:type="dxa"/>
            </w:tcMar>
            <w:vAlign w:val="top"/>
          </w:tcPr>
          <w:p>
            <w:r>
              <w:t>Separates package income, affiliate commission, insurance rewards, and withdrawable credits.</w:t>
            </w:r>
          </w:p>
        </w:tc>
      </w:tr>
    </w:tbl>
    <w:p/>
    <w:p>
      <w:r>
        <w:t>This separation is essential: a projected amount, a reward-wallet balance, and a withdrawable ledger balance are different financial states.</w:t>
      </w:r>
    </w:p>
    <w:p>
      <w:r>
        <w:br w:type="page"/>
      </w:r>
    </w:p>
    <w:p>
      <w:r>
        <w:rPr>
          <w:b/>
          <w:color w:val="1B8F86"/>
          <w:sz w:val="18"/>
        </w:rPr>
        <w:t>08  /  WHITE PAPER</w:t>
      </w:r>
    </w:p>
    <w:p>
      <w:pPr>
        <w:pStyle w:val="Heading1"/>
      </w:pPr>
      <w:r>
        <w:t>Affiliate program</w:t>
      </w:r>
    </w:p>
    <w:p>
      <w:pPr>
        <w:spacing w:after="280"/>
        <w:jc w:val="left"/>
      </w:pPr>
      <w:r>
        <w:rPr>
          <w:color w:val="53656D"/>
          <w:sz w:val="28"/>
        </w:rPr>
        <w:t>A configurable, level-based system with transparent destinations and responsible promotion rules.</w:t>
      </w:r>
    </w:p>
    <w:tbl>
      <w:tblPr>
        <w:tblStyle w:val="TableGrid"/>
        <w:tblW w:type="auto" w:w="0"/>
        <w:jc w:val="center"/>
        <w:tblLayout w:type="fixed"/>
        <w:tblLook w:firstColumn="1" w:firstRow="1" w:lastColumn="0" w:lastRow="0" w:noHBand="0" w:noVBand="1" w:val="04A0"/>
      </w:tblPr>
      <w:tblGrid>
        <w:gridCol w:w="4680"/>
        <w:gridCol w:w="4680"/>
      </w:tblGrid>
      <w:tr>
        <w:tc>
          <w:tcPr>
            <w:tcW w:type="dxa" w:w="3600"/>
            <w:shd w:fill="F4F6F9"/>
            <w:tcMar>
              <w:top w:w="120" w:type="dxa"/>
              <w:start w:w="120" w:type="dxa"/>
              <w:bottom w:w="120" w:type="dxa"/>
              <w:end w:w="120" w:type="dxa"/>
            </w:tcMar>
          </w:tcPr>
          <w:p>
            <w:r>
              <w:rPr>
                <w:b/>
                <w:color w:val="061014"/>
              </w:rPr>
              <w:t>Level</w:t>
            </w:r>
          </w:p>
        </w:tc>
        <w:tc>
          <w:tcPr>
            <w:tcW w:type="dxa" w:w="5760"/>
            <w:shd w:fill="F4F6F9"/>
            <w:tcMar>
              <w:top w:w="120" w:type="dxa"/>
              <w:start w:w="120" w:type="dxa"/>
              <w:bottom w:w="120" w:type="dxa"/>
              <w:end w:w="120" w:type="dxa"/>
            </w:tcMar>
          </w:tcPr>
          <w:p>
            <w:r>
              <w:rPr>
                <w:b/>
                <w:color w:val="061014"/>
              </w:rPr>
              <w:t>Default rate</w:t>
            </w:r>
          </w:p>
        </w:tc>
      </w:tr>
      <w:tr>
        <w:tc>
          <w:tcPr>
            <w:tcW w:type="dxa" w:w="3600"/>
            <w:tcMar>
              <w:top w:w="120" w:type="dxa"/>
              <w:start w:w="120" w:type="dxa"/>
              <w:bottom w:w="120" w:type="dxa"/>
              <w:end w:w="120" w:type="dxa"/>
            </w:tcMar>
            <w:vAlign w:val="top"/>
          </w:tcPr>
          <w:p>
            <w:r>
              <w:t>1</w:t>
            </w:r>
          </w:p>
        </w:tc>
        <w:tc>
          <w:tcPr>
            <w:tcW w:type="dxa" w:w="5760"/>
            <w:tcMar>
              <w:top w:w="120" w:type="dxa"/>
              <w:start w:w="120" w:type="dxa"/>
              <w:bottom w:w="120" w:type="dxa"/>
              <w:end w:w="120" w:type="dxa"/>
            </w:tcMar>
            <w:vAlign w:val="top"/>
          </w:tcPr>
          <w:p>
            <w:r>
              <w:t>10%</w:t>
            </w:r>
          </w:p>
        </w:tc>
      </w:tr>
      <w:tr>
        <w:tc>
          <w:tcPr>
            <w:tcW w:type="dxa" w:w="3600"/>
            <w:tcMar>
              <w:top w:w="120" w:type="dxa"/>
              <w:start w:w="120" w:type="dxa"/>
              <w:bottom w:w="120" w:type="dxa"/>
              <w:end w:w="120" w:type="dxa"/>
            </w:tcMar>
            <w:vAlign w:val="top"/>
          </w:tcPr>
          <w:p>
            <w:r>
              <w:t>2</w:t>
            </w:r>
          </w:p>
        </w:tc>
        <w:tc>
          <w:tcPr>
            <w:tcW w:type="dxa" w:w="5760"/>
            <w:tcMar>
              <w:top w:w="120" w:type="dxa"/>
              <w:start w:w="120" w:type="dxa"/>
              <w:bottom w:w="120" w:type="dxa"/>
              <w:end w:w="120" w:type="dxa"/>
            </w:tcMar>
            <w:vAlign w:val="top"/>
          </w:tcPr>
          <w:p>
            <w:r>
              <w:t>3%</w:t>
            </w:r>
          </w:p>
        </w:tc>
      </w:tr>
      <w:tr>
        <w:tc>
          <w:tcPr>
            <w:tcW w:type="dxa" w:w="3600"/>
            <w:tcMar>
              <w:top w:w="120" w:type="dxa"/>
              <w:start w:w="120" w:type="dxa"/>
              <w:bottom w:w="120" w:type="dxa"/>
              <w:end w:w="120" w:type="dxa"/>
            </w:tcMar>
            <w:vAlign w:val="top"/>
          </w:tcPr>
          <w:p>
            <w:r>
              <w:t>3</w:t>
            </w:r>
          </w:p>
        </w:tc>
        <w:tc>
          <w:tcPr>
            <w:tcW w:type="dxa" w:w="5760"/>
            <w:tcMar>
              <w:top w:w="120" w:type="dxa"/>
              <w:start w:w="120" w:type="dxa"/>
              <w:bottom w:w="120" w:type="dxa"/>
              <w:end w:w="120" w:type="dxa"/>
            </w:tcMar>
            <w:vAlign w:val="top"/>
          </w:tcPr>
          <w:p>
            <w:r>
              <w:t>2%</w:t>
            </w:r>
          </w:p>
        </w:tc>
      </w:tr>
      <w:tr>
        <w:tc>
          <w:tcPr>
            <w:tcW w:type="dxa" w:w="3600"/>
            <w:tcMar>
              <w:top w:w="120" w:type="dxa"/>
              <w:start w:w="120" w:type="dxa"/>
              <w:bottom w:w="120" w:type="dxa"/>
              <w:end w:w="120" w:type="dxa"/>
            </w:tcMar>
            <w:vAlign w:val="top"/>
          </w:tcPr>
          <w:p>
            <w:r>
              <w:t>4</w:t>
            </w:r>
          </w:p>
        </w:tc>
        <w:tc>
          <w:tcPr>
            <w:tcW w:type="dxa" w:w="5760"/>
            <w:tcMar>
              <w:top w:w="120" w:type="dxa"/>
              <w:start w:w="120" w:type="dxa"/>
              <w:bottom w:w="120" w:type="dxa"/>
              <w:end w:w="120" w:type="dxa"/>
            </w:tcMar>
            <w:vAlign w:val="top"/>
          </w:tcPr>
          <w:p>
            <w:r>
              <w:t>1%</w:t>
            </w:r>
          </w:p>
        </w:tc>
      </w:tr>
      <w:tr>
        <w:tc>
          <w:tcPr>
            <w:tcW w:type="dxa" w:w="3600"/>
            <w:tcMar>
              <w:top w:w="120" w:type="dxa"/>
              <w:start w:w="120" w:type="dxa"/>
              <w:bottom w:w="120" w:type="dxa"/>
              <w:end w:w="120" w:type="dxa"/>
            </w:tcMar>
            <w:vAlign w:val="top"/>
          </w:tcPr>
          <w:p>
            <w:r>
              <w:t>5</w:t>
            </w:r>
          </w:p>
        </w:tc>
        <w:tc>
          <w:tcPr>
            <w:tcW w:type="dxa" w:w="5760"/>
            <w:tcMar>
              <w:top w:w="120" w:type="dxa"/>
              <w:start w:w="120" w:type="dxa"/>
              <w:bottom w:w="120" w:type="dxa"/>
              <w:end w:w="120" w:type="dxa"/>
            </w:tcMar>
            <w:vAlign w:val="top"/>
          </w:tcPr>
          <w:p>
            <w:r>
              <w:t>1%</w:t>
            </w:r>
          </w:p>
        </w:tc>
      </w:tr>
      <w:tr>
        <w:tc>
          <w:tcPr>
            <w:tcW w:type="dxa" w:w="3600"/>
            <w:tcMar>
              <w:top w:w="120" w:type="dxa"/>
              <w:start w:w="120" w:type="dxa"/>
              <w:bottom w:w="120" w:type="dxa"/>
              <w:end w:w="120" w:type="dxa"/>
            </w:tcMar>
            <w:vAlign w:val="top"/>
          </w:tcPr>
          <w:p>
            <w:r>
              <w:t>6</w:t>
            </w:r>
          </w:p>
        </w:tc>
        <w:tc>
          <w:tcPr>
            <w:tcW w:type="dxa" w:w="5760"/>
            <w:tcMar>
              <w:top w:w="120" w:type="dxa"/>
              <w:start w:w="120" w:type="dxa"/>
              <w:bottom w:w="120" w:type="dxa"/>
              <w:end w:w="120" w:type="dxa"/>
            </w:tcMar>
            <w:vAlign w:val="top"/>
          </w:tcPr>
          <w:p>
            <w:r>
              <w:t>1%</w:t>
            </w:r>
          </w:p>
        </w:tc>
      </w:tr>
      <w:tr>
        <w:tc>
          <w:tcPr>
            <w:tcW w:type="dxa" w:w="3600"/>
            <w:tcMar>
              <w:top w:w="120" w:type="dxa"/>
              <w:start w:w="120" w:type="dxa"/>
              <w:bottom w:w="120" w:type="dxa"/>
              <w:end w:w="120" w:type="dxa"/>
            </w:tcMar>
            <w:vAlign w:val="top"/>
          </w:tcPr>
          <w:p>
            <w:r>
              <w:t>7</w:t>
            </w:r>
          </w:p>
        </w:tc>
        <w:tc>
          <w:tcPr>
            <w:tcW w:type="dxa" w:w="5760"/>
            <w:tcMar>
              <w:top w:w="120" w:type="dxa"/>
              <w:start w:w="120" w:type="dxa"/>
              <w:bottom w:w="120" w:type="dxa"/>
              <w:end w:w="120" w:type="dxa"/>
            </w:tcMar>
            <w:vAlign w:val="top"/>
          </w:tcPr>
          <w:p>
            <w:r>
              <w:t>1%</w:t>
            </w:r>
          </w:p>
        </w:tc>
      </w:tr>
      <w:tr>
        <w:tc>
          <w:tcPr>
            <w:tcW w:type="dxa" w:w="3600"/>
            <w:tcMar>
              <w:top w:w="120" w:type="dxa"/>
              <w:start w:w="120" w:type="dxa"/>
              <w:bottom w:w="120" w:type="dxa"/>
              <w:end w:w="120" w:type="dxa"/>
            </w:tcMar>
            <w:vAlign w:val="top"/>
          </w:tcPr>
          <w:p>
            <w:r>
              <w:t>8</w:t>
            </w:r>
          </w:p>
        </w:tc>
        <w:tc>
          <w:tcPr>
            <w:tcW w:type="dxa" w:w="5760"/>
            <w:tcMar>
              <w:top w:w="120" w:type="dxa"/>
              <w:start w:w="120" w:type="dxa"/>
              <w:bottom w:w="120" w:type="dxa"/>
              <w:end w:w="120" w:type="dxa"/>
            </w:tcMar>
            <w:vAlign w:val="top"/>
          </w:tcPr>
          <w:p>
            <w:r>
              <w:t>1%</w:t>
            </w:r>
          </w:p>
        </w:tc>
      </w:tr>
      <w:tr>
        <w:tc>
          <w:tcPr>
            <w:tcW w:type="dxa" w:w="3600"/>
            <w:tcMar>
              <w:top w:w="120" w:type="dxa"/>
              <w:start w:w="120" w:type="dxa"/>
              <w:bottom w:w="120" w:type="dxa"/>
              <w:end w:w="120" w:type="dxa"/>
            </w:tcMar>
            <w:vAlign w:val="top"/>
          </w:tcPr>
          <w:p>
            <w:r>
              <w:t>9</w:t>
            </w:r>
          </w:p>
        </w:tc>
        <w:tc>
          <w:tcPr>
            <w:tcW w:type="dxa" w:w="5760"/>
            <w:tcMar>
              <w:top w:w="120" w:type="dxa"/>
              <w:start w:w="120" w:type="dxa"/>
              <w:bottom w:w="120" w:type="dxa"/>
              <w:end w:w="120" w:type="dxa"/>
            </w:tcMar>
            <w:vAlign w:val="top"/>
          </w:tcPr>
          <w:p>
            <w:r>
              <w:t>0.5%</w:t>
            </w:r>
          </w:p>
        </w:tc>
      </w:tr>
      <w:tr>
        <w:tc>
          <w:tcPr>
            <w:tcW w:type="dxa" w:w="3600"/>
            <w:tcMar>
              <w:top w:w="120" w:type="dxa"/>
              <w:start w:w="120" w:type="dxa"/>
              <w:bottom w:w="120" w:type="dxa"/>
              <w:end w:w="120" w:type="dxa"/>
            </w:tcMar>
            <w:vAlign w:val="top"/>
          </w:tcPr>
          <w:p>
            <w:r>
              <w:t>10</w:t>
            </w:r>
          </w:p>
        </w:tc>
        <w:tc>
          <w:tcPr>
            <w:tcW w:type="dxa" w:w="5760"/>
            <w:tcMar>
              <w:top w:w="120" w:type="dxa"/>
              <w:start w:w="120" w:type="dxa"/>
              <w:bottom w:w="120" w:type="dxa"/>
              <w:end w:w="120" w:type="dxa"/>
            </w:tcMar>
            <w:vAlign w:val="top"/>
          </w:tcPr>
          <w:p>
            <w:r>
              <w:t>0.5%</w:t>
            </w:r>
          </w:p>
        </w:tc>
      </w:tr>
    </w:tbl>
    <w:p/>
    <w:p>
      <w:r>
        <w:t>The active depth is configurable from 8 to 10 levels. Rates are administrator-configured and may change; the live platform is authoritative. Commissions depend on eligible activity and must never be marketed as guaranteed income.</w:t>
      </w:r>
    </w:p>
    <w:p>
      <w:r>
        <w:br w:type="page"/>
      </w:r>
    </w:p>
    <w:p>
      <w:r>
        <w:rPr>
          <w:b/>
          <w:color w:val="1B8F86"/>
          <w:sz w:val="18"/>
        </w:rPr>
        <w:t>09  /  WHITE PAPER</w:t>
      </w:r>
    </w:p>
    <w:p>
      <w:pPr>
        <w:pStyle w:val="Heading1"/>
      </w:pPr>
      <w:r>
        <w:t>Reward-wallet mechanics</w:t>
      </w:r>
    </w:p>
    <w:p>
      <w:pPr>
        <w:spacing w:after="280"/>
        <w:jc w:val="left"/>
      </w:pPr>
      <w:r>
        <w:rPr>
          <w:color w:val="53656D"/>
          <w:sz w:val="28"/>
        </w:rPr>
        <w:t>Rewards accumulate first and complete blocks are distributed by a scheduled process.</w:t>
      </w:r>
    </w:p>
    <w:tbl>
      <w:tblPr>
        <w:tblStyle w:val="TableGrid"/>
        <w:tblW w:type="auto" w:w="0"/>
        <w:jc w:val="center"/>
        <w:tblLayout w:type="fixed"/>
        <w:tblLook w:firstColumn="1" w:firstRow="1" w:lastColumn="0" w:lastRow="0" w:noHBand="0" w:noVBand="1" w:val="04A0"/>
      </w:tblPr>
      <w:tblGrid>
        <w:gridCol w:w="4680"/>
        <w:gridCol w:w="4680"/>
      </w:tblGrid>
      <w:tr>
        <w:tc>
          <w:tcPr>
            <w:tcW w:type="dxa" w:w="3600"/>
            <w:shd w:fill="F4F6F9"/>
            <w:tcMar>
              <w:top w:w="120" w:type="dxa"/>
              <w:start w:w="120" w:type="dxa"/>
              <w:bottom w:w="120" w:type="dxa"/>
              <w:end w:w="120" w:type="dxa"/>
            </w:tcMar>
          </w:tcPr>
          <w:p>
            <w:r>
              <w:rPr>
                <w:b/>
                <w:color w:val="061014"/>
              </w:rPr>
              <w:t>From each complete 10 USDT block</w:t>
            </w:r>
          </w:p>
        </w:tc>
        <w:tc>
          <w:tcPr>
            <w:tcW w:type="dxa" w:w="5760"/>
            <w:shd w:fill="F4F6F9"/>
            <w:tcMar>
              <w:top w:w="120" w:type="dxa"/>
              <w:start w:w="120" w:type="dxa"/>
              <w:bottom w:w="120" w:type="dxa"/>
              <w:end w:w="120" w:type="dxa"/>
            </w:tcMar>
          </w:tcPr>
          <w:p>
            <w:r>
              <w:rPr>
                <w:b/>
                <w:color w:val="061014"/>
              </w:rPr>
              <w:t>Destination</w:t>
            </w:r>
          </w:p>
        </w:tc>
      </w:tr>
      <w:tr>
        <w:tc>
          <w:tcPr>
            <w:tcW w:type="dxa" w:w="3600"/>
            <w:tcMar>
              <w:top w:w="120" w:type="dxa"/>
              <w:start w:w="120" w:type="dxa"/>
              <w:bottom w:w="120" w:type="dxa"/>
              <w:end w:w="120" w:type="dxa"/>
            </w:tcMar>
            <w:vAlign w:val="top"/>
          </w:tcPr>
          <w:p>
            <w:r>
              <w:t>5.00 USDT</w:t>
            </w:r>
          </w:p>
        </w:tc>
        <w:tc>
          <w:tcPr>
            <w:tcW w:type="dxa" w:w="5760"/>
            <w:tcMar>
              <w:top w:w="120" w:type="dxa"/>
              <w:start w:w="120" w:type="dxa"/>
              <w:bottom w:w="120" w:type="dxa"/>
              <w:end w:w="120" w:type="dxa"/>
            </w:tcMar>
            <w:vAlign w:val="top"/>
          </w:tcPr>
          <w:p>
            <w:r>
              <w:t>Withdrawable balance of the reward owner</w:t>
            </w:r>
          </w:p>
        </w:tc>
      </w:tr>
      <w:tr>
        <w:tc>
          <w:tcPr>
            <w:tcW w:type="dxa" w:w="3600"/>
            <w:tcMar>
              <w:top w:w="120" w:type="dxa"/>
              <w:start w:w="120" w:type="dxa"/>
              <w:bottom w:w="120" w:type="dxa"/>
              <w:end w:w="120" w:type="dxa"/>
            </w:tcMar>
            <w:vAlign w:val="top"/>
          </w:tcPr>
          <w:p>
            <w:r>
              <w:t>2.50 USDT</w:t>
            </w:r>
          </w:p>
        </w:tc>
        <w:tc>
          <w:tcPr>
            <w:tcW w:type="dxa" w:w="5760"/>
            <w:tcMar>
              <w:top w:w="120" w:type="dxa"/>
              <w:start w:w="120" w:type="dxa"/>
              <w:bottom w:w="120" w:type="dxa"/>
              <w:end w:w="120" w:type="dxa"/>
            </w:tcMar>
            <w:vAlign w:val="top"/>
          </w:tcPr>
          <w:p>
            <w:r>
              <w:t>Upline reward wallet, when eligible</w:t>
            </w:r>
          </w:p>
        </w:tc>
      </w:tr>
      <w:tr>
        <w:tc>
          <w:tcPr>
            <w:tcW w:type="dxa" w:w="3600"/>
            <w:tcMar>
              <w:top w:w="120" w:type="dxa"/>
              <w:start w:w="120" w:type="dxa"/>
              <w:bottom w:w="120" w:type="dxa"/>
              <w:end w:w="120" w:type="dxa"/>
            </w:tcMar>
            <w:vAlign w:val="top"/>
          </w:tcPr>
          <w:p>
            <w:r>
              <w:t>2.50 USDT</w:t>
            </w:r>
          </w:p>
        </w:tc>
        <w:tc>
          <w:tcPr>
            <w:tcW w:type="dxa" w:w="5760"/>
            <w:tcMar>
              <w:top w:w="120" w:type="dxa"/>
              <w:start w:w="120" w:type="dxa"/>
              <w:bottom w:w="120" w:type="dxa"/>
              <w:end w:w="120" w:type="dxa"/>
            </w:tcMar>
            <w:vAlign w:val="top"/>
          </w:tcPr>
          <w:p>
            <w:r>
              <w:t>Triggering downline reward wallet, when eligible</w:t>
            </w:r>
          </w:p>
        </w:tc>
      </w:tr>
    </w:tbl>
    <w:p/>
    <w:p>
      <w:r>
        <w:t>Affiliate commissions and insurance-related rewards enter reward wallets. Distribution runs through a CLI-only cron process, preventing a page refresh or ordinary web request from triggering payout logic.</w:t>
      </w:r>
    </w:p>
    <w:p>
      <w:pPr>
        <w:pStyle w:val="Heading2"/>
      </w:pPr>
      <w:r>
        <w:t>Operational dependency</w:t>
      </w:r>
    </w:p>
    <w:p>
      <w:r>
        <w:t>A deployed interface does not prove the scheduler has run. Operators must monitor cron execution, failures, block eligibility, and reconciliation.</w:t>
      </w:r>
    </w:p>
    <w:p>
      <w:r>
        <w:br w:type="page"/>
      </w:r>
    </w:p>
    <w:p>
      <w:r>
        <w:rPr>
          <w:b/>
          <w:color w:val="1B8F86"/>
          <w:sz w:val="18"/>
        </w:rPr>
        <w:t>10  /  WHITE PAPER</w:t>
      </w:r>
    </w:p>
    <w:p>
      <w:pPr>
        <w:pStyle w:val="Heading1"/>
      </w:pPr>
      <w:r>
        <w:t>Support and administration</w:t>
      </w:r>
    </w:p>
    <w:p>
      <w:pPr>
        <w:spacing w:after="280"/>
        <w:jc w:val="left"/>
      </w:pPr>
      <w:r>
        <w:rPr>
          <w:color w:val="53656D"/>
          <w:sz w:val="28"/>
        </w:rPr>
        <w:t>Accountable service requires both client history and operator queues.</w:t>
      </w:r>
    </w:p>
    <w:p>
      <w:pPr>
        <w:pStyle w:val="ListBullet"/>
      </w:pPr>
      <w:r>
        <w:t>Clients create categorized tickets with priority and description.</w:t>
      </w:r>
    </w:p>
    <w:p>
      <w:pPr>
        <w:pStyle w:val="ListBullet"/>
      </w:pPr>
      <w:r>
        <w:t>Replies remain threaded with the originating account and ticket.</w:t>
      </w:r>
    </w:p>
    <w:p>
      <w:pPr>
        <w:pStyle w:val="ListBullet"/>
      </w:pPr>
      <w:r>
        <w:t>Status changes distinguish open, in progress, waiting, resolved, and closed work.</w:t>
      </w:r>
    </w:p>
    <w:p>
      <w:pPr>
        <w:pStyle w:val="ListBullet"/>
      </w:pPr>
      <w:r>
        <w:t>Dashboard figures surface support workload alongside funding and transaction operations.</w:t>
      </w:r>
    </w:p>
    <w:p>
      <w:pPr>
        <w:pStyle w:val="ListBullet"/>
      </w:pPr>
      <w:r>
        <w:t>Administrator actions are role-protected and sensitive changes can be audited.</w:t>
      </w:r>
    </w:p>
    <w:p>
      <w:r>
        <w:t>Support is the correct channel for account-specific questions. Email should never be used to send passwords, seed phrases, private keys, or full identity documents.</w:t>
      </w:r>
    </w:p>
    <w:p>
      <w:r>
        <w:br w:type="page"/>
      </w:r>
    </w:p>
    <w:p>
      <w:r>
        <w:rPr>
          <w:b/>
          <w:color w:val="1B8F86"/>
          <w:sz w:val="18"/>
        </w:rPr>
        <w:t>11  /  WHITE PAPER</w:t>
      </w:r>
    </w:p>
    <w:p>
      <w:pPr>
        <w:pStyle w:val="Heading1"/>
      </w:pPr>
      <w:r>
        <w:t>Live markets and data boundary</w:t>
      </w:r>
    </w:p>
    <w:p>
      <w:pPr>
        <w:spacing w:after="280"/>
        <w:jc w:val="left"/>
      </w:pPr>
      <w:r>
        <w:rPr>
          <w:color w:val="53656D"/>
          <w:sz w:val="28"/>
        </w:rPr>
        <w:t>Market context enriches the dashboard without becoming account-performance evidence.</w:t>
      </w:r>
    </w:p>
    <w:p>
      <w:r>
        <w:t>TradingView widgets provide third-party crypto, foreign-exchange, indices, and economic-event context. Prices may be delayed or differ from execution venues. They are informational, not personalized advice.</w:t>
      </w:r>
    </w:p>
    <w:p>
      <w:pPr>
        <w:pStyle w:val="ListBullet"/>
      </w:pPr>
      <w:r>
        <w:t>Market widgets do not modify balances.</w:t>
      </w:r>
    </w:p>
    <w:p>
      <w:pPr>
        <w:pStyle w:val="ListBullet"/>
      </w:pPr>
      <w:r>
        <w:t>Charts do not prove package returns.</w:t>
      </w:r>
    </w:p>
    <w:p>
      <w:pPr>
        <w:pStyle w:val="ListBullet"/>
      </w:pPr>
      <w:r>
        <w:t>Displayed instruments need not represent platform holdings.</w:t>
      </w:r>
    </w:p>
    <w:p>
      <w:pPr>
        <w:pStyle w:val="ListBullet"/>
      </w:pPr>
      <w:r>
        <w:t>Third-party availability and data terms apply.</w:t>
      </w:r>
    </w:p>
    <w:p>
      <w:pPr>
        <w:pStyle w:val="Heading2"/>
      </w:pPr>
      <w:r>
        <w:t>Legitimacy through boundaries</w:t>
      </w:r>
    </w:p>
    <w:p>
      <w:r>
        <w:t>A content-rich interface becomes more credible when it distinguishes sourced market information from platform-controlled financial records.</w:t>
      </w:r>
    </w:p>
    <w:p>
      <w:r>
        <w:br w:type="page"/>
      </w:r>
    </w:p>
    <w:p>
      <w:r>
        <w:rPr>
          <w:b/>
          <w:color w:val="1B8F86"/>
          <w:sz w:val="18"/>
        </w:rPr>
        <w:t>12  /  WHITE PAPER</w:t>
      </w:r>
    </w:p>
    <w:p>
      <w:pPr>
        <w:pStyle w:val="Heading1"/>
      </w:pPr>
      <w:r>
        <w:t>Governance, custody, and audit status</w:t>
      </w:r>
    </w:p>
    <w:p>
      <w:pPr>
        <w:spacing w:after="280"/>
        <w:jc w:val="left"/>
      </w:pPr>
      <w:r>
        <w:rPr>
          <w:color w:val="53656D"/>
          <w:sz w:val="28"/>
        </w:rPr>
        <w:t>Current limitations are disclosed directly instead of being hidden behind broad trust language.</w:t>
      </w:r>
    </w:p>
    <w:tbl>
      <w:tblPr>
        <w:tblStyle w:val="TableGrid"/>
        <w:tblW w:type="auto" w:w="0"/>
        <w:jc w:val="center"/>
        <w:tblLayout w:type="fixed"/>
        <w:tblLook w:firstColumn="1" w:firstRow="1" w:lastColumn="0" w:lastRow="0" w:noHBand="0" w:noVBand="1" w:val="04A0"/>
      </w:tblPr>
      <w:tblGrid>
        <w:gridCol w:w="4680"/>
        <w:gridCol w:w="4680"/>
      </w:tblGrid>
      <w:tr>
        <w:tc>
          <w:tcPr>
            <w:tcW w:type="dxa" w:w="2592"/>
            <w:shd w:fill="F4F6F9"/>
            <w:tcMar>
              <w:top w:w="120" w:type="dxa"/>
              <w:start w:w="120" w:type="dxa"/>
              <w:bottom w:w="120" w:type="dxa"/>
              <w:end w:w="120" w:type="dxa"/>
            </w:tcMar>
          </w:tcPr>
          <w:p>
            <w:r>
              <w:rPr>
                <w:b/>
                <w:color w:val="061014"/>
              </w:rPr>
              <w:t>Topic</w:t>
            </w:r>
          </w:p>
        </w:tc>
        <w:tc>
          <w:tcPr>
            <w:tcW w:type="dxa" w:w="6768"/>
            <w:shd w:fill="F4F6F9"/>
            <w:tcMar>
              <w:top w:w="120" w:type="dxa"/>
              <w:start w:w="120" w:type="dxa"/>
              <w:bottom w:w="120" w:type="dxa"/>
              <w:end w:w="120" w:type="dxa"/>
            </w:tcMar>
          </w:tcPr>
          <w:p>
            <w:r>
              <w:rPr>
                <w:b/>
                <w:color w:val="061014"/>
              </w:rPr>
              <w:t>Current public status</w:t>
            </w:r>
          </w:p>
        </w:tc>
      </w:tr>
      <w:tr>
        <w:tc>
          <w:tcPr>
            <w:tcW w:type="dxa" w:w="2592"/>
            <w:tcMar>
              <w:top w:w="120" w:type="dxa"/>
              <w:start w:w="120" w:type="dxa"/>
              <w:bottom w:w="120" w:type="dxa"/>
              <w:end w:w="120" w:type="dxa"/>
            </w:tcMar>
            <w:vAlign w:val="top"/>
          </w:tcPr>
          <w:p>
            <w:r>
              <w:t>Independent audit</w:t>
            </w:r>
          </w:p>
        </w:tc>
        <w:tc>
          <w:tcPr>
            <w:tcW w:type="dxa" w:w="6768"/>
            <w:tcMar>
              <w:top w:w="120" w:type="dxa"/>
              <w:start w:w="120" w:type="dxa"/>
              <w:bottom w:w="120" w:type="dxa"/>
              <w:end w:w="120" w:type="dxa"/>
            </w:tcMar>
            <w:vAlign w:val="top"/>
          </w:tcPr>
          <w:p>
            <w:r>
              <w:t>No financial, security, or performance audit report is currently published.</w:t>
            </w:r>
          </w:p>
        </w:tc>
      </w:tr>
      <w:tr>
        <w:tc>
          <w:tcPr>
            <w:tcW w:type="dxa" w:w="2592"/>
            <w:tcMar>
              <w:top w:w="120" w:type="dxa"/>
              <w:start w:w="120" w:type="dxa"/>
              <w:bottom w:w="120" w:type="dxa"/>
              <w:end w:w="120" w:type="dxa"/>
            </w:tcMar>
            <w:vAlign w:val="top"/>
          </w:tcPr>
          <w:p>
            <w:r>
              <w:t>External custody</w:t>
            </w:r>
          </w:p>
        </w:tc>
        <w:tc>
          <w:tcPr>
            <w:tcW w:type="dxa" w:w="6768"/>
            <w:tcMar>
              <w:top w:w="120" w:type="dxa"/>
              <w:start w:w="120" w:type="dxa"/>
              <w:bottom w:w="120" w:type="dxa"/>
              <w:end w:w="120" w:type="dxa"/>
            </w:tcMar>
            <w:vAlign w:val="top"/>
          </w:tcPr>
          <w:p>
            <w:r>
              <w:t>No named independent custodian or segregated-account arrangement is published.</w:t>
            </w:r>
          </w:p>
        </w:tc>
      </w:tr>
      <w:tr>
        <w:tc>
          <w:tcPr>
            <w:tcW w:type="dxa" w:w="2592"/>
            <w:tcMar>
              <w:top w:w="120" w:type="dxa"/>
              <w:start w:w="120" w:type="dxa"/>
              <w:bottom w:w="120" w:type="dxa"/>
              <w:end w:w="120" w:type="dxa"/>
            </w:tcMar>
            <w:vAlign w:val="top"/>
          </w:tcPr>
          <w:p>
            <w:r>
              <w:t>Proof of reserves</w:t>
            </w:r>
          </w:p>
        </w:tc>
        <w:tc>
          <w:tcPr>
            <w:tcW w:type="dxa" w:w="6768"/>
            <w:tcMar>
              <w:top w:w="120" w:type="dxa"/>
              <w:start w:w="120" w:type="dxa"/>
              <w:bottom w:w="120" w:type="dxa"/>
              <w:end w:w="120" w:type="dxa"/>
            </w:tcMar>
            <w:vAlign w:val="top"/>
          </w:tcPr>
          <w:p>
            <w:r>
              <w:t>No independent proof-of-reserves report is published.</w:t>
            </w:r>
          </w:p>
        </w:tc>
      </w:tr>
      <w:tr>
        <w:tc>
          <w:tcPr>
            <w:tcW w:type="dxa" w:w="2592"/>
            <w:tcMar>
              <w:top w:w="120" w:type="dxa"/>
              <w:start w:w="120" w:type="dxa"/>
              <w:bottom w:w="120" w:type="dxa"/>
              <w:end w:w="120" w:type="dxa"/>
            </w:tcMar>
            <w:vAlign w:val="top"/>
          </w:tcPr>
          <w:p>
            <w:r>
              <w:t>Licensing</w:t>
            </w:r>
          </w:p>
        </w:tc>
        <w:tc>
          <w:tcPr>
            <w:tcW w:type="dxa" w:w="6768"/>
            <w:tcMar>
              <w:top w:w="120" w:type="dxa"/>
              <w:start w:w="120" w:type="dxa"/>
              <w:bottom w:w="120" w:type="dxa"/>
              <w:end w:w="120" w:type="dxa"/>
            </w:tcMar>
            <w:vAlign w:val="top"/>
          </w:tcPr>
          <w:p>
            <w:r>
              <w:t>No licensing or regulatory authorization claim is currently published.</w:t>
            </w:r>
          </w:p>
        </w:tc>
      </w:tr>
      <w:tr>
        <w:tc>
          <w:tcPr>
            <w:tcW w:type="dxa" w:w="2592"/>
            <w:tcMar>
              <w:top w:w="120" w:type="dxa"/>
              <w:start w:w="120" w:type="dxa"/>
              <w:bottom w:w="120" w:type="dxa"/>
              <w:end w:w="120" w:type="dxa"/>
            </w:tcMar>
            <w:vAlign w:val="top"/>
          </w:tcPr>
          <w:p>
            <w:r>
              <w:t>Internal controls</w:t>
            </w:r>
          </w:p>
        </w:tc>
        <w:tc>
          <w:tcPr>
            <w:tcW w:type="dxa" w:w="6768"/>
            <w:tcMar>
              <w:top w:w="120" w:type="dxa"/>
              <w:start w:w="120" w:type="dxa"/>
              <w:bottom w:w="120" w:type="dxa"/>
              <w:end w:w="120" w:type="dxa"/>
            </w:tcMar>
            <w:vAlign w:val="top"/>
          </w:tcPr>
          <w:p>
            <w:r>
              <w:t>Role protection, transaction states, review queues, and audit metadata are implemented.</w:t>
            </w:r>
          </w:p>
        </w:tc>
      </w:tr>
    </w:tbl>
    <w:p/>
    <w:p>
      <w:r>
        <w:t>Future assurance materials should identify provider, scope, period, methodology, limitations, and a verifiable report link.</w:t>
      </w:r>
    </w:p>
    <w:p>
      <w:r>
        <w:br w:type="page"/>
      </w:r>
    </w:p>
    <w:p>
      <w:r>
        <w:rPr>
          <w:b/>
          <w:color w:val="1B8F86"/>
          <w:sz w:val="18"/>
        </w:rPr>
        <w:t>13  /  WHITE PAPER</w:t>
      </w:r>
    </w:p>
    <w:p>
      <w:pPr>
        <w:pStyle w:val="Heading1"/>
      </w:pPr>
      <w:r>
        <w:t>Risk framework</w:t>
      </w:r>
    </w:p>
    <w:p>
      <w:pPr>
        <w:spacing w:after="280"/>
        <w:jc w:val="left"/>
      </w:pPr>
      <w:r>
        <w:rPr>
          <w:color w:val="53656D"/>
          <w:sz w:val="28"/>
        </w:rPr>
        <w:t>Users can lose some or all committed capital.</w:t>
      </w:r>
    </w:p>
    <w:p>
      <w:pPr>
        <w:pStyle w:val="ListBullet"/>
      </w:pPr>
      <w:r>
        <w:t>Market and liquidity risk</w:t>
      </w:r>
    </w:p>
    <w:p>
      <w:pPr>
        <w:pStyle w:val="ListBullet"/>
      </w:pPr>
      <w:r>
        <w:t>Technology and availability risk</w:t>
      </w:r>
    </w:p>
    <w:p>
      <w:pPr>
        <w:pStyle w:val="ListBullet"/>
      </w:pPr>
      <w:r>
        <w:t>Wallet, network, and stablecoin risk</w:t>
      </w:r>
    </w:p>
    <w:p>
      <w:pPr>
        <w:pStyle w:val="ListBullet"/>
      </w:pPr>
      <w:r>
        <w:t>Operational and human-review risk</w:t>
      </w:r>
    </w:p>
    <w:p>
      <w:pPr>
        <w:pStyle w:val="ListBullet"/>
      </w:pPr>
      <w:r>
        <w:t>Counterparty and custody risk</w:t>
      </w:r>
    </w:p>
    <w:p>
      <w:pPr>
        <w:pStyle w:val="ListBullet"/>
      </w:pPr>
      <w:r>
        <w:t>Regulatory and jurisdiction risk</w:t>
      </w:r>
    </w:p>
    <w:p>
      <w:pPr>
        <w:pStyle w:val="ListBullet"/>
      </w:pPr>
      <w:r>
        <w:t>Affiliate and promotional-conduct risk</w:t>
      </w:r>
    </w:p>
    <w:p>
      <w:r>
        <w:t>Package terms are not evidence that amounts have been earned. Blockchain transfers may be irreversible. Processing targets may be missed. Affiliates must not promise returns, income, licensing, audits, or protection that has not been verified.</w:t>
      </w:r>
    </w:p>
    <w:p>
      <w:pPr>
        <w:pStyle w:val="Heading2"/>
      </w:pPr>
      <w:r>
        <w:t>Suitability</w:t>
      </w:r>
    </w:p>
    <w:p>
      <w:r>
        <w:t>Users should assess their financial circumstances, risk tolerance, jurisdiction, and need for independent professional advice before funding an account.</w:t>
      </w:r>
    </w:p>
    <w:p>
      <w:r>
        <w:br w:type="page"/>
      </w:r>
    </w:p>
    <w:p>
      <w:r>
        <w:rPr>
          <w:b/>
          <w:color w:val="1B8F86"/>
          <w:sz w:val="18"/>
        </w:rPr>
        <w:t>14  /  WHITE PAPER</w:t>
      </w:r>
    </w:p>
    <w:p>
      <w:pPr>
        <w:pStyle w:val="Heading1"/>
      </w:pPr>
      <w:r>
        <w:t>Roadmap</w:t>
      </w:r>
    </w:p>
    <w:p>
      <w:pPr>
        <w:spacing w:after="280"/>
        <w:jc w:val="left"/>
      </w:pPr>
      <w:r>
        <w:rPr>
          <w:color w:val="53656D"/>
          <w:sz w:val="28"/>
        </w:rPr>
        <w:t>The next credibility gains come from independent evidence and stronger operating maturity.</w:t>
      </w:r>
    </w:p>
    <w:tbl>
      <w:tblPr>
        <w:tblStyle w:val="TableGrid"/>
        <w:tblW w:type="auto" w:w="0"/>
        <w:jc w:val="center"/>
        <w:tblLayout w:type="fixed"/>
        <w:tblLook w:firstColumn="1" w:firstRow="1" w:lastColumn="0" w:lastRow="0" w:noHBand="0" w:noVBand="1" w:val="04A0"/>
      </w:tblPr>
      <w:tblGrid>
        <w:gridCol w:w="4680"/>
        <w:gridCol w:w="4680"/>
      </w:tblGrid>
      <w:tr>
        <w:tc>
          <w:tcPr>
            <w:tcW w:type="dxa" w:w="2592"/>
            <w:shd w:fill="F4F6F9"/>
            <w:tcMar>
              <w:top w:w="120" w:type="dxa"/>
              <w:start w:w="120" w:type="dxa"/>
              <w:bottom w:w="120" w:type="dxa"/>
              <w:end w:w="120" w:type="dxa"/>
            </w:tcMar>
          </w:tcPr>
          <w:p>
            <w:r>
              <w:rPr>
                <w:b/>
                <w:color w:val="061014"/>
              </w:rPr>
              <w:t>Priority</w:t>
            </w:r>
          </w:p>
        </w:tc>
        <w:tc>
          <w:tcPr>
            <w:tcW w:type="dxa" w:w="6768"/>
            <w:shd w:fill="F4F6F9"/>
            <w:tcMar>
              <w:top w:w="120" w:type="dxa"/>
              <w:start w:w="120" w:type="dxa"/>
              <w:bottom w:w="120" w:type="dxa"/>
              <w:end w:w="120" w:type="dxa"/>
            </w:tcMar>
          </w:tcPr>
          <w:p>
            <w:r>
              <w:rPr>
                <w:b/>
                <w:color w:val="061014"/>
              </w:rPr>
              <w:t>Outcome</w:t>
            </w:r>
          </w:p>
        </w:tc>
      </w:tr>
      <w:tr>
        <w:tc>
          <w:tcPr>
            <w:tcW w:type="dxa" w:w="2592"/>
            <w:tcMar>
              <w:top w:w="120" w:type="dxa"/>
              <w:start w:w="120" w:type="dxa"/>
              <w:bottom w:w="120" w:type="dxa"/>
              <w:end w:w="120" w:type="dxa"/>
            </w:tcMar>
            <w:vAlign w:val="top"/>
          </w:tcPr>
          <w:p>
            <w:r>
              <w:t>Monitoring</w:t>
            </w:r>
          </w:p>
        </w:tc>
        <w:tc>
          <w:tcPr>
            <w:tcW w:type="dxa" w:w="6768"/>
            <w:tcMar>
              <w:top w:w="120" w:type="dxa"/>
              <w:start w:w="120" w:type="dxa"/>
              <w:bottom w:w="120" w:type="dxa"/>
              <w:end w:w="120" w:type="dxa"/>
            </w:tcMar>
            <w:vAlign w:val="top"/>
          </w:tcPr>
          <w:p>
            <w:r>
              <w:t>Independent uptime checks, scheduler alerts, and incident history.</w:t>
            </w:r>
          </w:p>
        </w:tc>
      </w:tr>
      <w:tr>
        <w:tc>
          <w:tcPr>
            <w:tcW w:type="dxa" w:w="2592"/>
            <w:tcMar>
              <w:top w:w="120" w:type="dxa"/>
              <w:start w:w="120" w:type="dxa"/>
              <w:bottom w:w="120" w:type="dxa"/>
              <w:end w:w="120" w:type="dxa"/>
            </w:tcMar>
            <w:vAlign w:val="top"/>
          </w:tcPr>
          <w:p>
            <w:r>
              <w:t>Assurance</w:t>
            </w:r>
          </w:p>
        </w:tc>
        <w:tc>
          <w:tcPr>
            <w:tcW w:type="dxa" w:w="6768"/>
            <w:tcMar>
              <w:top w:w="120" w:type="dxa"/>
              <w:start w:w="120" w:type="dxa"/>
              <w:bottom w:w="120" w:type="dxa"/>
              <w:end w:w="120" w:type="dxa"/>
            </w:tcMar>
            <w:vAlign w:val="top"/>
          </w:tcPr>
          <w:p>
            <w:r>
              <w:t>Scoped security review, financial reconciliation, and publishable reports.</w:t>
            </w:r>
          </w:p>
        </w:tc>
      </w:tr>
      <w:tr>
        <w:tc>
          <w:tcPr>
            <w:tcW w:type="dxa" w:w="2592"/>
            <w:tcMar>
              <w:top w:w="120" w:type="dxa"/>
              <w:start w:w="120" w:type="dxa"/>
              <w:bottom w:w="120" w:type="dxa"/>
              <w:end w:w="120" w:type="dxa"/>
            </w:tcMar>
            <w:vAlign w:val="top"/>
          </w:tcPr>
          <w:p>
            <w:r>
              <w:t>Custody disclosure</w:t>
            </w:r>
          </w:p>
        </w:tc>
        <w:tc>
          <w:tcPr>
            <w:tcW w:type="dxa" w:w="6768"/>
            <w:tcMar>
              <w:top w:w="120" w:type="dxa"/>
              <w:start w:w="120" w:type="dxa"/>
              <w:bottom w:w="120" w:type="dxa"/>
              <w:end w:w="120" w:type="dxa"/>
            </w:tcMar>
            <w:vAlign w:val="top"/>
          </w:tcPr>
          <w:p>
            <w:r>
              <w:t>Named arrangements, wallet governance, and independently verified reserve evidence.</w:t>
            </w:r>
          </w:p>
        </w:tc>
      </w:tr>
      <w:tr>
        <w:tc>
          <w:tcPr>
            <w:tcW w:type="dxa" w:w="2592"/>
            <w:tcMar>
              <w:top w:w="120" w:type="dxa"/>
              <w:start w:w="120" w:type="dxa"/>
              <w:bottom w:w="120" w:type="dxa"/>
              <w:end w:w="120" w:type="dxa"/>
            </w:tcMar>
            <w:vAlign w:val="top"/>
          </w:tcPr>
          <w:p>
            <w:r>
              <w:t>Compliance</w:t>
            </w:r>
          </w:p>
        </w:tc>
        <w:tc>
          <w:tcPr>
            <w:tcW w:type="dxa" w:w="6768"/>
            <w:tcMar>
              <w:top w:w="120" w:type="dxa"/>
              <w:start w:w="120" w:type="dxa"/>
              <w:bottom w:w="120" w:type="dxa"/>
              <w:end w:w="120" w:type="dxa"/>
            </w:tcMar>
            <w:vAlign w:val="top"/>
          </w:tcPr>
          <w:p>
            <w:r>
              <w:t>Jurisdiction-specific legal review, policies, and verified authorizations where required.</w:t>
            </w:r>
          </w:p>
        </w:tc>
      </w:tr>
      <w:tr>
        <w:tc>
          <w:tcPr>
            <w:tcW w:type="dxa" w:w="2592"/>
            <w:tcMar>
              <w:top w:w="120" w:type="dxa"/>
              <w:start w:w="120" w:type="dxa"/>
              <w:bottom w:w="120" w:type="dxa"/>
              <w:end w:w="120" w:type="dxa"/>
            </w:tcMar>
            <w:vAlign w:val="top"/>
          </w:tcPr>
          <w:p>
            <w:r>
              <w:t>Product</w:t>
            </w:r>
          </w:p>
        </w:tc>
        <w:tc>
          <w:tcPr>
            <w:tcW w:type="dxa" w:w="6768"/>
            <w:tcMar>
              <w:top w:w="120" w:type="dxa"/>
              <w:start w:w="120" w:type="dxa"/>
              <w:bottom w:w="120" w:type="dxa"/>
              <w:end w:w="120" w:type="dxa"/>
            </w:tcMar>
            <w:vAlign w:val="top"/>
          </w:tcPr>
          <w:p>
            <w:r>
              <w:t>Deeper portfolio analytics, document versioning, notifications, and export tools.</w:t>
            </w:r>
          </w:p>
        </w:tc>
      </w:tr>
    </w:tbl>
    <w:p/>
    <w:p>
      <w:r>
        <w:t>Roadmap items are intentions, not commitments, until implemented and announced through official channels.</w:t>
      </w:r>
    </w:p>
    <w:p>
      <w:r>
        <w:br w:type="page"/>
      </w:r>
    </w:p>
    <w:p>
      <w:r>
        <w:rPr>
          <w:b/>
          <w:color w:val="1B8F86"/>
          <w:sz w:val="18"/>
        </w:rPr>
        <w:t>15  /  WHITE PAPER</w:t>
      </w:r>
    </w:p>
    <w:p>
      <w:pPr>
        <w:pStyle w:val="Heading1"/>
      </w:pPr>
      <w:r>
        <w:t>Glossary and final disclosure</w:t>
      </w:r>
    </w:p>
    <w:p>
      <w:pPr>
        <w:spacing w:after="280"/>
        <w:jc w:val="left"/>
      </w:pPr>
      <w:r>
        <w:rPr>
          <w:color w:val="53656D"/>
          <w:sz w:val="28"/>
        </w:rPr>
        <w:t>Precise vocabulary prevents different financial states from being mistaken for one another.</w:t>
      </w:r>
    </w:p>
    <w:tbl>
      <w:tblPr>
        <w:tblStyle w:val="TableGrid"/>
        <w:tblW w:type="auto" w:w="0"/>
        <w:jc w:val="center"/>
        <w:tblLayout w:type="fixed"/>
        <w:tblLook w:firstColumn="1" w:firstRow="1" w:lastColumn="0" w:lastRow="0" w:noHBand="0" w:noVBand="1" w:val="04A0"/>
      </w:tblPr>
      <w:tblGrid>
        <w:gridCol w:w="4680"/>
        <w:gridCol w:w="4680"/>
      </w:tblGrid>
      <w:tr>
        <w:tc>
          <w:tcPr>
            <w:tcW w:type="dxa" w:w="2592"/>
            <w:shd w:fill="F4F6F9"/>
            <w:tcMar>
              <w:top w:w="120" w:type="dxa"/>
              <w:start w:w="120" w:type="dxa"/>
              <w:bottom w:w="120" w:type="dxa"/>
              <w:end w:w="120" w:type="dxa"/>
            </w:tcMar>
          </w:tcPr>
          <w:p>
            <w:r>
              <w:rPr>
                <w:b/>
                <w:color w:val="061014"/>
              </w:rPr>
              <w:t>Term</w:t>
            </w:r>
          </w:p>
        </w:tc>
        <w:tc>
          <w:tcPr>
            <w:tcW w:type="dxa" w:w="6768"/>
            <w:shd w:fill="F4F6F9"/>
            <w:tcMar>
              <w:top w:w="120" w:type="dxa"/>
              <w:start w:w="120" w:type="dxa"/>
              <w:bottom w:w="120" w:type="dxa"/>
              <w:end w:w="120" w:type="dxa"/>
            </w:tcMar>
          </w:tcPr>
          <w:p>
            <w:r>
              <w:rPr>
                <w:b/>
                <w:color w:val="061014"/>
              </w:rPr>
              <w:t>Meaning</w:t>
            </w:r>
          </w:p>
        </w:tc>
      </w:tr>
      <w:tr>
        <w:tc>
          <w:tcPr>
            <w:tcW w:type="dxa" w:w="2592"/>
            <w:tcMar>
              <w:top w:w="120" w:type="dxa"/>
              <w:start w:w="120" w:type="dxa"/>
              <w:bottom w:w="120" w:type="dxa"/>
              <w:end w:w="120" w:type="dxa"/>
            </w:tcMar>
            <w:vAlign w:val="top"/>
          </w:tcPr>
          <w:p>
            <w:r>
              <w:t>Available balance</w:t>
            </w:r>
          </w:p>
        </w:tc>
        <w:tc>
          <w:tcPr>
            <w:tcW w:type="dxa" w:w="6768"/>
            <w:tcMar>
              <w:top w:w="120" w:type="dxa"/>
              <w:start w:w="120" w:type="dxa"/>
              <w:bottom w:w="120" w:type="dxa"/>
              <w:end w:w="120" w:type="dxa"/>
            </w:tcMar>
            <w:vAlign w:val="top"/>
          </w:tcPr>
          <w:p>
            <w:r>
              <w:t>Ledger amount currently usable for eligible platform actions.</w:t>
            </w:r>
          </w:p>
        </w:tc>
      </w:tr>
      <w:tr>
        <w:tc>
          <w:tcPr>
            <w:tcW w:type="dxa" w:w="2592"/>
            <w:tcMar>
              <w:top w:w="120" w:type="dxa"/>
              <w:start w:w="120" w:type="dxa"/>
              <w:bottom w:w="120" w:type="dxa"/>
              <w:end w:w="120" w:type="dxa"/>
            </w:tcMar>
            <w:vAlign w:val="top"/>
          </w:tcPr>
          <w:p>
            <w:r>
              <w:t>Reward wallet</w:t>
            </w:r>
          </w:p>
        </w:tc>
        <w:tc>
          <w:tcPr>
            <w:tcW w:type="dxa" w:w="6768"/>
            <w:tcMar>
              <w:top w:w="120" w:type="dxa"/>
              <w:start w:w="120" w:type="dxa"/>
              <w:bottom w:w="120" w:type="dxa"/>
              <w:end w:w="120" w:type="dxa"/>
            </w:tcMar>
            <w:vAlign w:val="top"/>
          </w:tcPr>
          <w:p>
            <w:r>
              <w:t>Non-withdrawable accumulator awaiting scheduled block processing.</w:t>
            </w:r>
          </w:p>
        </w:tc>
      </w:tr>
      <w:tr>
        <w:tc>
          <w:tcPr>
            <w:tcW w:type="dxa" w:w="2592"/>
            <w:tcMar>
              <w:top w:w="120" w:type="dxa"/>
              <w:start w:w="120" w:type="dxa"/>
              <w:bottom w:w="120" w:type="dxa"/>
              <w:end w:w="120" w:type="dxa"/>
            </w:tcMar>
            <w:vAlign w:val="top"/>
          </w:tcPr>
          <w:p>
            <w:r>
              <w:t>Realized profit</w:t>
            </w:r>
          </w:p>
        </w:tc>
        <w:tc>
          <w:tcPr>
            <w:tcW w:type="dxa" w:w="6768"/>
            <w:tcMar>
              <w:top w:w="120" w:type="dxa"/>
              <w:start w:w="120" w:type="dxa"/>
              <w:bottom w:w="120" w:type="dxa"/>
              <w:end w:w="120" w:type="dxa"/>
            </w:tcMar>
            <w:vAlign w:val="top"/>
          </w:tcPr>
          <w:p>
            <w:r>
              <w:t>Completed profit credit in the withdrawable ledger.</w:t>
            </w:r>
          </w:p>
        </w:tc>
      </w:tr>
      <w:tr>
        <w:tc>
          <w:tcPr>
            <w:tcW w:type="dxa" w:w="2592"/>
            <w:tcMar>
              <w:top w:w="120" w:type="dxa"/>
              <w:start w:w="120" w:type="dxa"/>
              <w:bottom w:w="120" w:type="dxa"/>
              <w:end w:w="120" w:type="dxa"/>
            </w:tcMar>
            <w:vAlign w:val="top"/>
          </w:tcPr>
          <w:p>
            <w:r>
              <w:t>Stated return</w:t>
            </w:r>
          </w:p>
        </w:tc>
        <w:tc>
          <w:tcPr>
            <w:tcW w:type="dxa" w:w="6768"/>
            <w:tcMar>
              <w:top w:w="120" w:type="dxa"/>
              <w:start w:w="120" w:type="dxa"/>
              <w:bottom w:w="120" w:type="dxa"/>
              <w:end w:w="120" w:type="dxa"/>
            </w:tcMar>
            <w:vAlign w:val="top"/>
          </w:tcPr>
          <w:p>
            <w:r>
              <w:t>Package term saved at purchase; not proof of payment.</w:t>
            </w:r>
          </w:p>
        </w:tc>
      </w:tr>
      <w:tr>
        <w:tc>
          <w:tcPr>
            <w:tcW w:type="dxa" w:w="2592"/>
            <w:tcMar>
              <w:top w:w="120" w:type="dxa"/>
              <w:start w:w="120" w:type="dxa"/>
              <w:bottom w:w="120" w:type="dxa"/>
              <w:end w:w="120" w:type="dxa"/>
            </w:tcMar>
            <w:vAlign w:val="top"/>
          </w:tcPr>
          <w:p>
            <w:r>
              <w:t>Insured slot</w:t>
            </w:r>
          </w:p>
        </w:tc>
        <w:tc>
          <w:tcPr>
            <w:tcW w:type="dxa" w:w="6768"/>
            <w:tcMar>
              <w:top w:w="120" w:type="dxa"/>
              <w:start w:w="120" w:type="dxa"/>
              <w:bottom w:w="120" w:type="dxa"/>
              <w:end w:w="120" w:type="dxa"/>
            </w:tcMar>
            <w:vAlign w:val="top"/>
          </w:tcPr>
          <w:p>
            <w:r>
              <w:t>Internal 10 USDT package-purchase prerequisite; not third-party insurance.</w:t>
            </w:r>
          </w:p>
        </w:tc>
      </w:tr>
      <w:tr>
        <w:tc>
          <w:tcPr>
            <w:tcW w:type="dxa" w:w="2592"/>
            <w:tcMar>
              <w:top w:w="120" w:type="dxa"/>
              <w:start w:w="120" w:type="dxa"/>
              <w:bottom w:w="120" w:type="dxa"/>
              <w:end w:w="120" w:type="dxa"/>
            </w:tcMar>
            <w:vAlign w:val="top"/>
          </w:tcPr>
          <w:p>
            <w:r>
              <w:t>Review target</w:t>
            </w:r>
          </w:p>
        </w:tc>
        <w:tc>
          <w:tcPr>
            <w:tcW w:type="dxa" w:w="6768"/>
            <w:tcMar>
              <w:top w:w="120" w:type="dxa"/>
              <w:start w:w="120" w:type="dxa"/>
              <w:bottom w:w="120" w:type="dxa"/>
              <w:end w:w="120" w:type="dxa"/>
            </w:tcMar>
            <w:vAlign w:val="top"/>
          </w:tcPr>
          <w:p>
            <w:r>
              <w:t>Operational objective, not guaranteed completion time.</w:t>
            </w:r>
          </w:p>
        </w:tc>
      </w:tr>
    </w:tbl>
    <w:p/>
    <w:p>
      <w:pPr>
        <w:pStyle w:val="Heading2"/>
      </w:pPr>
      <w:r>
        <w:t>Final disclosure</w:t>
      </w:r>
    </w:p>
    <w:p>
      <w:r>
        <w:t>This white paper describes the platform as implemented and understood in June 2026. It is informational, not investment, legal, tax, or accounting advice. The live platform settings and signed agreements, where applicable, govern current operational terms. Users should verify all material claims independently.</w:t>
      </w:r>
    </w:p>
    <w:p>
      <w:r>
        <w:t>Contact: admin@alphagrid.ltd</w:t>
      </w:r>
    </w:p>
    <w:sectPr w:rsidR="00FC693F" w:rsidRPr="0006063C" w:rsidSect="00034616">
      <w:headerReference w:type="default" r:id="rId9"/>
      <w:footerReference w:type="default" r:id="rId10"/>
      <w:pgSz w:w="12240" w:h="15840"/>
      <w:pgMar w:top="1152"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3656D"/>
        <w:sz w:val="16"/>
      </w:rPr>
      <w:t xml:space="preserve">Alpha Grid  •  Operational documentation  •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b/>
        <w:color w:val="1B8F86"/>
        <w:sz w:val="16"/>
      </w:rPr>
      <w:t>ALPHA GRID  /  WHITE PAPER  /  JUNE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Rule="auto" w:line="320"/>
      <w:jc w:val="both"/>
    </w:pPr>
    <w:rPr>
      <w:rFonts w:ascii="Calibri" w:hAnsi="Calibri"/>
      <w:color w:val="18252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Calibri" w:hAnsi="Calibri"/>
      <w:b/>
      <w:color w:val="061014"/>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